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drawings/drawing1.xml" ContentType="application/vnd.openxmlformats-officedocument.drawingml.chartshapes+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959925962"/>
        <w:docPartObj>
          <w:docPartGallery w:val="Cover Pages"/>
          <w:docPartUnique/>
        </w:docPartObj>
      </w:sdtPr>
      <w:sdtEndPr>
        <w:rPr>
          <w:lang w:val="fr-FR"/>
        </w:rPr>
      </w:sdtEndPr>
      <w:sdtContent>
        <w:p w:rsidR="00021A99" w:rsidRPr="00021A99" w:rsidRDefault="00021A99" w:rsidP="00021A99">
          <w:pPr>
            <w:jc w:val="center"/>
            <w:rPr>
              <w:color w:val="000000" w:themeColor="text1"/>
            </w:rPr>
          </w:pPr>
        </w:p>
        <w:tbl>
          <w:tblPr>
            <w:tblpPr w:leftFromText="187" w:rightFromText="187" w:horzAnchor="margin" w:tblpXSpec="center" w:tblpY="2881"/>
            <w:tblW w:w="5548" w:type="pct"/>
            <w:tblBorders>
              <w:left w:val="single" w:sz="12" w:space="0" w:color="4F81BD" w:themeColor="accent1"/>
            </w:tblBorders>
            <w:tblCellMar>
              <w:left w:w="144" w:type="dxa"/>
              <w:right w:w="115" w:type="dxa"/>
            </w:tblCellMar>
            <w:tblLook w:val="04A0" w:firstRow="1" w:lastRow="0" w:firstColumn="1" w:lastColumn="0" w:noHBand="0" w:noVBand="1"/>
          </w:tblPr>
          <w:tblGrid>
            <w:gridCol w:w="10321"/>
          </w:tblGrid>
          <w:tr w:rsidR="00021A99" w:rsidRPr="00021A99" w:rsidTr="0029212A">
            <w:tc>
              <w:tcPr>
                <w:tcW w:w="10050" w:type="dxa"/>
                <w:tcBorders>
                  <w:left w:val="nil"/>
                  <w:bottom w:val="nil"/>
                </w:tcBorders>
                <w:tcMar>
                  <w:top w:w="216" w:type="dxa"/>
                  <w:left w:w="115" w:type="dxa"/>
                  <w:bottom w:w="216" w:type="dxa"/>
                  <w:right w:w="115" w:type="dxa"/>
                </w:tcMar>
              </w:tcPr>
              <w:p w:rsidR="00021A99" w:rsidRPr="00021A99" w:rsidRDefault="00021A99" w:rsidP="00021A99">
                <w:pPr>
                  <w:pStyle w:val="NoSpacing"/>
                  <w:rPr>
                    <w:color w:val="000000" w:themeColor="text1"/>
                    <w:sz w:val="24"/>
                  </w:rPr>
                </w:pPr>
              </w:p>
            </w:tc>
          </w:tr>
          <w:tr w:rsidR="00021A99" w:rsidRPr="00021A99" w:rsidTr="0029212A">
            <w:tc>
              <w:tcPr>
                <w:tcW w:w="10050" w:type="dxa"/>
                <w:tcBorders>
                  <w:left w:val="nil"/>
                  <w:bottom w:val="nil"/>
                </w:tcBorders>
              </w:tcPr>
              <w:sdt>
                <w:sdtPr>
                  <w:rPr>
                    <w:rFonts w:ascii="Cambria" w:eastAsia="Times New Roman" w:hAnsi="Cambria"/>
                    <w:color w:val="000000" w:themeColor="text1"/>
                    <w:sz w:val="80"/>
                    <w:szCs w:val="80"/>
                    <w:lang w:val="fr-BE"/>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rsidR="00021A99" w:rsidRPr="0029212A" w:rsidRDefault="0029212A" w:rsidP="0029212A">
                    <w:pPr>
                      <w:pStyle w:val="NoSpacing"/>
                      <w:spacing w:line="216" w:lineRule="auto"/>
                      <w:rPr>
                        <w:rFonts w:asciiTheme="majorHAnsi" w:eastAsiaTheme="majorEastAsia" w:hAnsiTheme="majorHAnsi" w:cstheme="majorBidi"/>
                        <w:color w:val="000000" w:themeColor="text1"/>
                        <w:sz w:val="80"/>
                        <w:szCs w:val="80"/>
                        <w:lang w:val="fr-BE"/>
                      </w:rPr>
                    </w:pPr>
                    <w:r w:rsidRPr="0029212A">
                      <w:rPr>
                        <w:rFonts w:ascii="Cambria" w:eastAsia="Times New Roman" w:hAnsi="Cambria"/>
                        <w:color w:val="000000" w:themeColor="text1"/>
                        <w:sz w:val="80"/>
                        <w:szCs w:val="80"/>
                        <w:lang w:val="fr-BE"/>
                      </w:rPr>
                      <w:t xml:space="preserve">Rapport économique </w:t>
                    </w:r>
                    <w:r>
                      <w:rPr>
                        <w:rFonts w:ascii="Cambria" w:eastAsia="Times New Roman" w:hAnsi="Cambria"/>
                        <w:color w:val="000000" w:themeColor="text1"/>
                        <w:sz w:val="80"/>
                        <w:szCs w:val="80"/>
                        <w:lang w:val="fr-BE"/>
                      </w:rPr>
                      <w:t>annuel</w:t>
                    </w:r>
                  </w:p>
                </w:sdtContent>
              </w:sdt>
            </w:tc>
          </w:tr>
          <w:tr w:rsidR="00021A99" w:rsidRPr="0029212A" w:rsidTr="0029212A">
            <w:tc>
              <w:tcPr>
                <w:tcW w:w="10050" w:type="dxa"/>
                <w:tcBorders>
                  <w:left w:val="nil"/>
                </w:tcBorders>
                <w:tcMar>
                  <w:top w:w="216" w:type="dxa"/>
                  <w:left w:w="115" w:type="dxa"/>
                  <w:bottom w:w="216" w:type="dxa"/>
                  <w:right w:w="115" w:type="dxa"/>
                </w:tcMar>
              </w:tcPr>
              <w:p w:rsidR="00021A99" w:rsidRPr="00021A99" w:rsidRDefault="00AB7BC9" w:rsidP="00120115">
                <w:pPr>
                  <w:pStyle w:val="NoSpacing"/>
                  <w:tabs>
                    <w:tab w:val="left" w:pos="6090"/>
                  </w:tabs>
                  <w:rPr>
                    <w:color w:val="000000" w:themeColor="text1"/>
                    <w:sz w:val="24"/>
                    <w:lang w:val="fr-BE"/>
                  </w:rPr>
                </w:pPr>
                <w:sdt>
                  <w:sdtPr>
                    <w:rPr>
                      <w:color w:val="000000" w:themeColor="text1"/>
                      <w:sz w:val="40"/>
                      <w:szCs w:val="40"/>
                      <w:lang w:val="fr-BE"/>
                    </w:rPr>
                    <w:alias w:val="Subtitle"/>
                    <w:id w:val="13406923"/>
                    <w:dataBinding w:prefixMappings="xmlns:ns0='http://schemas.openxmlformats.org/package/2006/metadata/core-properties' xmlns:ns1='http://purl.org/dc/elements/1.1/'" w:xpath="/ns0:coreProperties[1]/ns1:subject[1]" w:storeItemID="{6C3C8BC8-F283-45AE-878A-BAB7291924A1}"/>
                    <w:text/>
                  </w:sdtPr>
                  <w:sdtEndPr/>
                  <w:sdtContent>
                    <w:r w:rsidR="007632C0">
                      <w:rPr>
                        <w:color w:val="000000" w:themeColor="text1"/>
                        <w:sz w:val="40"/>
                        <w:szCs w:val="40"/>
                        <w:lang w:val="nl-BE"/>
                      </w:rPr>
                      <w:t>Industrie alimentaire w</w:t>
                    </w:r>
                    <w:r w:rsidR="000A3024">
                      <w:rPr>
                        <w:color w:val="000000" w:themeColor="text1"/>
                        <w:sz w:val="40"/>
                        <w:szCs w:val="40"/>
                        <w:lang w:val="nl-BE"/>
                      </w:rPr>
                      <w:t>allonne –  2014</w:t>
                    </w:r>
                  </w:sdtContent>
                </w:sdt>
                <w:r w:rsidR="003B40C2">
                  <w:rPr>
                    <w:color w:val="000000" w:themeColor="text1"/>
                    <w:sz w:val="32"/>
                    <w:szCs w:val="32"/>
                    <w:lang w:val="fr-BE"/>
                  </w:rPr>
                  <w:tab/>
                </w:r>
              </w:p>
            </w:tc>
          </w:tr>
        </w:tbl>
        <w:p w:rsidR="00021A99" w:rsidRPr="004319CA" w:rsidRDefault="00021A99">
          <w:pPr>
            <w:rPr>
              <w:lang w:val="fr-FR"/>
            </w:rPr>
          </w:pPr>
          <w:r>
            <w:rPr>
              <w:lang w:val="fr-FR"/>
            </w:rPr>
            <w:br w:type="page"/>
          </w:r>
        </w:p>
      </w:sdtContent>
    </w:sdt>
    <w:sdt>
      <w:sdtPr>
        <w:rPr>
          <w:rFonts w:asciiTheme="minorHAnsi" w:eastAsiaTheme="minorHAnsi" w:hAnsiTheme="minorHAnsi" w:cstheme="minorBidi"/>
          <w:color w:val="auto"/>
          <w:sz w:val="22"/>
          <w:szCs w:val="22"/>
          <w:lang w:val="fr-BE"/>
        </w:rPr>
        <w:id w:val="1345210112"/>
        <w:docPartObj>
          <w:docPartGallery w:val="Table of Contents"/>
          <w:docPartUnique/>
        </w:docPartObj>
      </w:sdtPr>
      <w:sdtEndPr>
        <w:rPr>
          <w:b/>
          <w:bCs/>
          <w:noProof/>
          <w:lang w:val="nl-BE"/>
        </w:rPr>
      </w:sdtEndPr>
      <w:sdtContent>
        <w:p w:rsidR="00EA08D2" w:rsidRPr="00001C1E" w:rsidRDefault="00001C1E">
          <w:pPr>
            <w:pStyle w:val="TOCHeading"/>
            <w:rPr>
              <w:lang w:val="fr-BE"/>
            </w:rPr>
          </w:pPr>
          <w:r w:rsidRPr="00001C1E">
            <w:rPr>
              <w:lang w:val="fr-BE"/>
            </w:rPr>
            <w:t>Table des matières</w:t>
          </w:r>
        </w:p>
        <w:p w:rsidR="00B80B7C" w:rsidRPr="0029212A" w:rsidRDefault="00EA08D2">
          <w:pPr>
            <w:pStyle w:val="TOC1"/>
            <w:tabs>
              <w:tab w:val="right" w:leader="dot" w:pos="9062"/>
            </w:tabs>
            <w:rPr>
              <w:rFonts w:eastAsiaTheme="minorEastAsia"/>
              <w:noProof/>
              <w:lang w:val="fr-BE"/>
            </w:rPr>
          </w:pPr>
          <w:r>
            <w:fldChar w:fldCharType="begin"/>
          </w:r>
          <w:r w:rsidRPr="0029212A">
            <w:rPr>
              <w:lang w:val="fr-BE"/>
            </w:rPr>
            <w:instrText xml:space="preserve"> TOC \o "1-3" \h \z \u </w:instrText>
          </w:r>
          <w:r>
            <w:fldChar w:fldCharType="separate"/>
          </w:r>
          <w:hyperlink w:anchor="_Toc431453519" w:history="1">
            <w:r w:rsidR="00B80B7C" w:rsidRPr="00C56531">
              <w:rPr>
                <w:rStyle w:val="Hyperlink"/>
                <w:noProof/>
                <w:lang w:val="fr-FR"/>
              </w:rPr>
              <w:t>Synthèse</w:t>
            </w:r>
            <w:r w:rsidR="00B80B7C" w:rsidRPr="0029212A">
              <w:rPr>
                <w:noProof/>
                <w:webHidden/>
                <w:lang w:val="fr-BE"/>
              </w:rPr>
              <w:tab/>
            </w:r>
            <w:r w:rsidR="00B80B7C">
              <w:rPr>
                <w:noProof/>
                <w:webHidden/>
              </w:rPr>
              <w:fldChar w:fldCharType="begin"/>
            </w:r>
            <w:r w:rsidR="00B80B7C" w:rsidRPr="0029212A">
              <w:rPr>
                <w:noProof/>
                <w:webHidden/>
                <w:lang w:val="fr-BE"/>
              </w:rPr>
              <w:instrText xml:space="preserve"> PAGEREF _Toc431453519 \h </w:instrText>
            </w:r>
            <w:r w:rsidR="00B80B7C">
              <w:rPr>
                <w:noProof/>
                <w:webHidden/>
              </w:rPr>
            </w:r>
            <w:r w:rsidR="00B80B7C">
              <w:rPr>
                <w:noProof/>
                <w:webHidden/>
              </w:rPr>
              <w:fldChar w:fldCharType="separate"/>
            </w:r>
            <w:r w:rsidR="00B80B7C" w:rsidRPr="0029212A">
              <w:rPr>
                <w:noProof/>
                <w:webHidden/>
                <w:lang w:val="fr-BE"/>
              </w:rPr>
              <w:t>2</w:t>
            </w:r>
            <w:r w:rsidR="00B80B7C">
              <w:rPr>
                <w:noProof/>
                <w:webHidden/>
              </w:rPr>
              <w:fldChar w:fldCharType="end"/>
            </w:r>
          </w:hyperlink>
        </w:p>
        <w:p w:rsidR="00B80B7C" w:rsidRDefault="00AB7BC9">
          <w:pPr>
            <w:pStyle w:val="TOC1"/>
            <w:tabs>
              <w:tab w:val="left" w:pos="440"/>
              <w:tab w:val="right" w:leader="dot" w:pos="9062"/>
            </w:tabs>
            <w:rPr>
              <w:rFonts w:eastAsiaTheme="minorEastAsia"/>
              <w:noProof/>
              <w:lang w:val="en-US"/>
            </w:rPr>
          </w:pPr>
          <w:hyperlink w:anchor="_Toc431453520" w:history="1">
            <w:r w:rsidR="00B80B7C" w:rsidRPr="00C56531">
              <w:rPr>
                <w:rStyle w:val="Hyperlink"/>
                <w:noProof/>
                <w:lang w:val="fr-FR"/>
              </w:rPr>
              <w:t>1.</w:t>
            </w:r>
            <w:r w:rsidR="00B80B7C">
              <w:rPr>
                <w:rFonts w:eastAsiaTheme="minorEastAsia"/>
                <w:noProof/>
                <w:lang w:val="en-US"/>
              </w:rPr>
              <w:tab/>
            </w:r>
            <w:r w:rsidR="00B80B7C" w:rsidRPr="00C56531">
              <w:rPr>
                <w:rStyle w:val="Hyperlink"/>
                <w:noProof/>
                <w:lang w:val="fr-FR"/>
              </w:rPr>
              <w:t>Chiffre d’affaires et production</w:t>
            </w:r>
            <w:r w:rsidR="00B80B7C">
              <w:rPr>
                <w:noProof/>
                <w:webHidden/>
              </w:rPr>
              <w:tab/>
            </w:r>
            <w:r w:rsidR="00B80B7C">
              <w:rPr>
                <w:noProof/>
                <w:webHidden/>
              </w:rPr>
              <w:fldChar w:fldCharType="begin"/>
            </w:r>
            <w:r w:rsidR="00B80B7C">
              <w:rPr>
                <w:noProof/>
                <w:webHidden/>
              </w:rPr>
              <w:instrText xml:space="preserve"> PAGEREF _Toc431453520 \h </w:instrText>
            </w:r>
            <w:r w:rsidR="00B80B7C">
              <w:rPr>
                <w:noProof/>
                <w:webHidden/>
              </w:rPr>
            </w:r>
            <w:r w:rsidR="00B80B7C">
              <w:rPr>
                <w:noProof/>
                <w:webHidden/>
              </w:rPr>
              <w:fldChar w:fldCharType="separate"/>
            </w:r>
            <w:r w:rsidR="00B80B7C">
              <w:rPr>
                <w:noProof/>
                <w:webHidden/>
              </w:rPr>
              <w:t>5</w:t>
            </w:r>
            <w:r w:rsidR="00B80B7C">
              <w:rPr>
                <w:noProof/>
                <w:webHidden/>
              </w:rPr>
              <w:fldChar w:fldCharType="end"/>
            </w:r>
          </w:hyperlink>
        </w:p>
        <w:p w:rsidR="00B80B7C" w:rsidRDefault="00AB7BC9">
          <w:pPr>
            <w:pStyle w:val="TOC1"/>
            <w:tabs>
              <w:tab w:val="left" w:pos="440"/>
              <w:tab w:val="right" w:leader="dot" w:pos="9062"/>
            </w:tabs>
            <w:rPr>
              <w:rFonts w:eastAsiaTheme="minorEastAsia"/>
              <w:noProof/>
              <w:lang w:val="en-US"/>
            </w:rPr>
          </w:pPr>
          <w:hyperlink w:anchor="_Toc431453521" w:history="1">
            <w:r w:rsidR="00B80B7C" w:rsidRPr="00C56531">
              <w:rPr>
                <w:rStyle w:val="Hyperlink"/>
                <w:noProof/>
                <w:lang w:val="fr-FR"/>
              </w:rPr>
              <w:t>2.</w:t>
            </w:r>
            <w:r w:rsidR="00B80B7C">
              <w:rPr>
                <w:rFonts w:eastAsiaTheme="minorEastAsia"/>
                <w:noProof/>
                <w:lang w:val="en-US"/>
              </w:rPr>
              <w:tab/>
            </w:r>
            <w:r w:rsidR="00B80B7C" w:rsidRPr="00C56531">
              <w:rPr>
                <w:rStyle w:val="Hyperlink"/>
                <w:noProof/>
                <w:lang w:val="fr-FR"/>
              </w:rPr>
              <w:t>Emploi</w:t>
            </w:r>
            <w:r w:rsidR="00B80B7C">
              <w:rPr>
                <w:noProof/>
                <w:webHidden/>
              </w:rPr>
              <w:tab/>
            </w:r>
            <w:r w:rsidR="00B80B7C">
              <w:rPr>
                <w:noProof/>
                <w:webHidden/>
              </w:rPr>
              <w:fldChar w:fldCharType="begin"/>
            </w:r>
            <w:r w:rsidR="00B80B7C">
              <w:rPr>
                <w:noProof/>
                <w:webHidden/>
              </w:rPr>
              <w:instrText xml:space="preserve"> PAGEREF _Toc431453521 \h </w:instrText>
            </w:r>
            <w:r w:rsidR="00B80B7C">
              <w:rPr>
                <w:noProof/>
                <w:webHidden/>
              </w:rPr>
            </w:r>
            <w:r w:rsidR="00B80B7C">
              <w:rPr>
                <w:noProof/>
                <w:webHidden/>
              </w:rPr>
              <w:fldChar w:fldCharType="separate"/>
            </w:r>
            <w:r w:rsidR="00B80B7C">
              <w:rPr>
                <w:noProof/>
                <w:webHidden/>
              </w:rPr>
              <w:t>7</w:t>
            </w:r>
            <w:r w:rsidR="00B80B7C">
              <w:rPr>
                <w:noProof/>
                <w:webHidden/>
              </w:rPr>
              <w:fldChar w:fldCharType="end"/>
            </w:r>
          </w:hyperlink>
        </w:p>
        <w:p w:rsidR="00B80B7C" w:rsidRDefault="00AB7BC9">
          <w:pPr>
            <w:pStyle w:val="TOC1"/>
            <w:tabs>
              <w:tab w:val="left" w:pos="440"/>
              <w:tab w:val="right" w:leader="dot" w:pos="9062"/>
            </w:tabs>
            <w:rPr>
              <w:rFonts w:eastAsiaTheme="minorEastAsia"/>
              <w:noProof/>
              <w:lang w:val="en-US"/>
            </w:rPr>
          </w:pPr>
          <w:hyperlink w:anchor="_Toc431453522" w:history="1">
            <w:r w:rsidR="00B80B7C" w:rsidRPr="00C56531">
              <w:rPr>
                <w:rStyle w:val="Hyperlink"/>
                <w:noProof/>
                <w:lang w:val="fr-FR"/>
              </w:rPr>
              <w:t>3.</w:t>
            </w:r>
            <w:r w:rsidR="00B80B7C">
              <w:rPr>
                <w:rFonts w:eastAsiaTheme="minorEastAsia"/>
                <w:noProof/>
                <w:lang w:val="en-US"/>
              </w:rPr>
              <w:tab/>
            </w:r>
            <w:r w:rsidR="00B80B7C" w:rsidRPr="00C56531">
              <w:rPr>
                <w:rStyle w:val="Hyperlink"/>
                <w:noProof/>
                <w:lang w:val="fr-FR"/>
              </w:rPr>
              <w:t>Employeurs</w:t>
            </w:r>
            <w:r w:rsidR="00B80B7C">
              <w:rPr>
                <w:noProof/>
                <w:webHidden/>
              </w:rPr>
              <w:tab/>
            </w:r>
            <w:r w:rsidR="00B80B7C">
              <w:rPr>
                <w:noProof/>
                <w:webHidden/>
              </w:rPr>
              <w:fldChar w:fldCharType="begin"/>
            </w:r>
            <w:r w:rsidR="00B80B7C">
              <w:rPr>
                <w:noProof/>
                <w:webHidden/>
              </w:rPr>
              <w:instrText xml:space="preserve"> PAGEREF _Toc431453522 \h </w:instrText>
            </w:r>
            <w:r w:rsidR="00B80B7C">
              <w:rPr>
                <w:noProof/>
                <w:webHidden/>
              </w:rPr>
            </w:r>
            <w:r w:rsidR="00B80B7C">
              <w:rPr>
                <w:noProof/>
                <w:webHidden/>
              </w:rPr>
              <w:fldChar w:fldCharType="separate"/>
            </w:r>
            <w:r w:rsidR="00B80B7C">
              <w:rPr>
                <w:noProof/>
                <w:webHidden/>
              </w:rPr>
              <w:t>10</w:t>
            </w:r>
            <w:r w:rsidR="00B80B7C">
              <w:rPr>
                <w:noProof/>
                <w:webHidden/>
              </w:rPr>
              <w:fldChar w:fldCharType="end"/>
            </w:r>
          </w:hyperlink>
        </w:p>
        <w:p w:rsidR="00B80B7C" w:rsidRDefault="00AB7BC9">
          <w:pPr>
            <w:pStyle w:val="TOC1"/>
            <w:tabs>
              <w:tab w:val="left" w:pos="440"/>
              <w:tab w:val="right" w:leader="dot" w:pos="9062"/>
            </w:tabs>
            <w:rPr>
              <w:rFonts w:eastAsiaTheme="minorEastAsia"/>
              <w:noProof/>
              <w:lang w:val="en-US"/>
            </w:rPr>
          </w:pPr>
          <w:hyperlink w:anchor="_Toc431453523" w:history="1">
            <w:r w:rsidR="00B80B7C" w:rsidRPr="00C56531">
              <w:rPr>
                <w:rStyle w:val="Hyperlink"/>
                <w:noProof/>
                <w:lang w:val="fr-FR"/>
              </w:rPr>
              <w:t>4.</w:t>
            </w:r>
            <w:r w:rsidR="00B80B7C">
              <w:rPr>
                <w:rFonts w:eastAsiaTheme="minorEastAsia"/>
                <w:noProof/>
                <w:lang w:val="en-US"/>
              </w:rPr>
              <w:tab/>
            </w:r>
            <w:r w:rsidR="00B80B7C" w:rsidRPr="00C56531">
              <w:rPr>
                <w:rStyle w:val="Hyperlink"/>
                <w:noProof/>
                <w:lang w:val="fr-FR"/>
              </w:rPr>
              <w:t>Investissements</w:t>
            </w:r>
            <w:r w:rsidR="00B80B7C">
              <w:rPr>
                <w:noProof/>
                <w:webHidden/>
              </w:rPr>
              <w:tab/>
            </w:r>
            <w:r w:rsidR="00B80B7C">
              <w:rPr>
                <w:noProof/>
                <w:webHidden/>
              </w:rPr>
              <w:fldChar w:fldCharType="begin"/>
            </w:r>
            <w:r w:rsidR="00B80B7C">
              <w:rPr>
                <w:noProof/>
                <w:webHidden/>
              </w:rPr>
              <w:instrText xml:space="preserve"> PAGEREF _Toc431453523 \h </w:instrText>
            </w:r>
            <w:r w:rsidR="00B80B7C">
              <w:rPr>
                <w:noProof/>
                <w:webHidden/>
              </w:rPr>
            </w:r>
            <w:r w:rsidR="00B80B7C">
              <w:rPr>
                <w:noProof/>
                <w:webHidden/>
              </w:rPr>
              <w:fldChar w:fldCharType="separate"/>
            </w:r>
            <w:r w:rsidR="00B80B7C">
              <w:rPr>
                <w:noProof/>
                <w:webHidden/>
              </w:rPr>
              <w:t>12</w:t>
            </w:r>
            <w:r w:rsidR="00B80B7C">
              <w:rPr>
                <w:noProof/>
                <w:webHidden/>
              </w:rPr>
              <w:fldChar w:fldCharType="end"/>
            </w:r>
          </w:hyperlink>
        </w:p>
        <w:p w:rsidR="00B80B7C" w:rsidRDefault="00AB7BC9">
          <w:pPr>
            <w:pStyle w:val="TOC1"/>
            <w:tabs>
              <w:tab w:val="left" w:pos="440"/>
              <w:tab w:val="right" w:leader="dot" w:pos="9062"/>
            </w:tabs>
            <w:rPr>
              <w:rFonts w:eastAsiaTheme="minorEastAsia"/>
              <w:noProof/>
              <w:lang w:val="en-US"/>
            </w:rPr>
          </w:pPr>
          <w:hyperlink w:anchor="_Toc431453524" w:history="1">
            <w:r w:rsidR="00B80B7C" w:rsidRPr="00C56531">
              <w:rPr>
                <w:rStyle w:val="Hyperlink"/>
                <w:noProof/>
                <w:lang w:val="fr-FR"/>
              </w:rPr>
              <w:t>5.</w:t>
            </w:r>
            <w:r w:rsidR="00B80B7C">
              <w:rPr>
                <w:rFonts w:eastAsiaTheme="minorEastAsia"/>
                <w:noProof/>
                <w:lang w:val="en-US"/>
              </w:rPr>
              <w:tab/>
            </w:r>
            <w:r w:rsidR="00B80B7C" w:rsidRPr="00C56531">
              <w:rPr>
                <w:rStyle w:val="Hyperlink"/>
                <w:noProof/>
                <w:lang w:val="fr-FR"/>
              </w:rPr>
              <w:t>Rentabilité et compétitivité</w:t>
            </w:r>
            <w:r w:rsidR="00B80B7C">
              <w:rPr>
                <w:noProof/>
                <w:webHidden/>
              </w:rPr>
              <w:tab/>
            </w:r>
            <w:r w:rsidR="00B80B7C">
              <w:rPr>
                <w:noProof/>
                <w:webHidden/>
              </w:rPr>
              <w:fldChar w:fldCharType="begin"/>
            </w:r>
            <w:r w:rsidR="00B80B7C">
              <w:rPr>
                <w:noProof/>
                <w:webHidden/>
              </w:rPr>
              <w:instrText xml:space="preserve"> PAGEREF _Toc431453524 \h </w:instrText>
            </w:r>
            <w:r w:rsidR="00B80B7C">
              <w:rPr>
                <w:noProof/>
                <w:webHidden/>
              </w:rPr>
            </w:r>
            <w:r w:rsidR="00B80B7C">
              <w:rPr>
                <w:noProof/>
                <w:webHidden/>
              </w:rPr>
              <w:fldChar w:fldCharType="separate"/>
            </w:r>
            <w:r w:rsidR="00B80B7C">
              <w:rPr>
                <w:noProof/>
                <w:webHidden/>
              </w:rPr>
              <w:t>13</w:t>
            </w:r>
            <w:r w:rsidR="00B80B7C">
              <w:rPr>
                <w:noProof/>
                <w:webHidden/>
              </w:rPr>
              <w:fldChar w:fldCharType="end"/>
            </w:r>
          </w:hyperlink>
        </w:p>
        <w:p w:rsidR="00B80B7C" w:rsidRDefault="00AB7BC9">
          <w:pPr>
            <w:pStyle w:val="TOC2"/>
            <w:tabs>
              <w:tab w:val="left" w:pos="880"/>
              <w:tab w:val="right" w:leader="dot" w:pos="9062"/>
            </w:tabs>
            <w:rPr>
              <w:rFonts w:eastAsiaTheme="minorEastAsia"/>
              <w:noProof/>
              <w:lang w:val="en-US"/>
            </w:rPr>
          </w:pPr>
          <w:hyperlink w:anchor="_Toc431453525" w:history="1">
            <w:r w:rsidR="00B80B7C" w:rsidRPr="00C56531">
              <w:rPr>
                <w:rStyle w:val="Hyperlink"/>
                <w:noProof/>
                <w:lang w:val="fr-FR"/>
              </w:rPr>
              <w:t>5.1</w:t>
            </w:r>
            <w:r w:rsidR="00B80B7C">
              <w:rPr>
                <w:rFonts w:eastAsiaTheme="minorEastAsia"/>
                <w:noProof/>
                <w:lang w:val="en-US"/>
              </w:rPr>
              <w:tab/>
            </w:r>
            <w:r w:rsidR="00B80B7C" w:rsidRPr="00C56531">
              <w:rPr>
                <w:rStyle w:val="Hyperlink"/>
                <w:noProof/>
                <w:lang w:val="fr-FR"/>
              </w:rPr>
              <w:t>Compétitivité : fiscalité</w:t>
            </w:r>
            <w:r w:rsidR="00B80B7C">
              <w:rPr>
                <w:noProof/>
                <w:webHidden/>
              </w:rPr>
              <w:tab/>
            </w:r>
            <w:r w:rsidR="00B80B7C">
              <w:rPr>
                <w:noProof/>
                <w:webHidden/>
              </w:rPr>
              <w:fldChar w:fldCharType="begin"/>
            </w:r>
            <w:r w:rsidR="00B80B7C">
              <w:rPr>
                <w:noProof/>
                <w:webHidden/>
              </w:rPr>
              <w:instrText xml:space="preserve"> PAGEREF _Toc431453525 \h </w:instrText>
            </w:r>
            <w:r w:rsidR="00B80B7C">
              <w:rPr>
                <w:noProof/>
                <w:webHidden/>
              </w:rPr>
            </w:r>
            <w:r w:rsidR="00B80B7C">
              <w:rPr>
                <w:noProof/>
                <w:webHidden/>
              </w:rPr>
              <w:fldChar w:fldCharType="separate"/>
            </w:r>
            <w:r w:rsidR="00B80B7C">
              <w:rPr>
                <w:noProof/>
                <w:webHidden/>
              </w:rPr>
              <w:t>14</w:t>
            </w:r>
            <w:r w:rsidR="00B80B7C">
              <w:rPr>
                <w:noProof/>
                <w:webHidden/>
              </w:rPr>
              <w:fldChar w:fldCharType="end"/>
            </w:r>
          </w:hyperlink>
        </w:p>
        <w:p w:rsidR="00B80B7C" w:rsidRDefault="00AB7BC9">
          <w:pPr>
            <w:pStyle w:val="TOC2"/>
            <w:tabs>
              <w:tab w:val="left" w:pos="880"/>
              <w:tab w:val="right" w:leader="dot" w:pos="9062"/>
            </w:tabs>
            <w:rPr>
              <w:rFonts w:eastAsiaTheme="minorEastAsia"/>
              <w:noProof/>
              <w:lang w:val="en-US"/>
            </w:rPr>
          </w:pPr>
          <w:hyperlink w:anchor="_Toc431453526" w:history="1">
            <w:r w:rsidR="00B80B7C" w:rsidRPr="00C56531">
              <w:rPr>
                <w:rStyle w:val="Hyperlink"/>
                <w:noProof/>
                <w:lang w:val="fr-FR"/>
              </w:rPr>
              <w:t>5.2</w:t>
            </w:r>
            <w:r w:rsidR="00B80B7C">
              <w:rPr>
                <w:rFonts w:eastAsiaTheme="minorEastAsia"/>
                <w:noProof/>
                <w:lang w:val="en-US"/>
              </w:rPr>
              <w:tab/>
            </w:r>
            <w:r w:rsidR="00B80B7C" w:rsidRPr="00C56531">
              <w:rPr>
                <w:rStyle w:val="Hyperlink"/>
                <w:noProof/>
                <w:lang w:val="fr-FR"/>
              </w:rPr>
              <w:t>Compétitivité : couts salariaux</w:t>
            </w:r>
            <w:r w:rsidR="00B80B7C">
              <w:rPr>
                <w:noProof/>
                <w:webHidden/>
              </w:rPr>
              <w:tab/>
            </w:r>
            <w:r w:rsidR="00B80B7C">
              <w:rPr>
                <w:noProof/>
                <w:webHidden/>
              </w:rPr>
              <w:fldChar w:fldCharType="begin"/>
            </w:r>
            <w:r w:rsidR="00B80B7C">
              <w:rPr>
                <w:noProof/>
                <w:webHidden/>
              </w:rPr>
              <w:instrText xml:space="preserve"> PAGEREF _Toc431453526 \h </w:instrText>
            </w:r>
            <w:r w:rsidR="00B80B7C">
              <w:rPr>
                <w:noProof/>
                <w:webHidden/>
              </w:rPr>
            </w:r>
            <w:r w:rsidR="00B80B7C">
              <w:rPr>
                <w:noProof/>
                <w:webHidden/>
              </w:rPr>
              <w:fldChar w:fldCharType="separate"/>
            </w:r>
            <w:r w:rsidR="00B80B7C">
              <w:rPr>
                <w:noProof/>
                <w:webHidden/>
              </w:rPr>
              <w:t>15</w:t>
            </w:r>
            <w:r w:rsidR="00B80B7C">
              <w:rPr>
                <w:noProof/>
                <w:webHidden/>
              </w:rPr>
              <w:fldChar w:fldCharType="end"/>
            </w:r>
          </w:hyperlink>
        </w:p>
        <w:p w:rsidR="00B80B7C" w:rsidRDefault="00AB7BC9">
          <w:pPr>
            <w:pStyle w:val="TOC2"/>
            <w:tabs>
              <w:tab w:val="left" w:pos="880"/>
              <w:tab w:val="right" w:leader="dot" w:pos="9062"/>
            </w:tabs>
            <w:rPr>
              <w:rFonts w:eastAsiaTheme="minorEastAsia"/>
              <w:noProof/>
              <w:lang w:val="en-US"/>
            </w:rPr>
          </w:pPr>
          <w:hyperlink w:anchor="_Toc431453527" w:history="1">
            <w:r w:rsidR="00B80B7C" w:rsidRPr="00C56531">
              <w:rPr>
                <w:rStyle w:val="Hyperlink"/>
                <w:noProof/>
                <w:lang w:val="fr-FR"/>
              </w:rPr>
              <w:t>5.3</w:t>
            </w:r>
            <w:r w:rsidR="00B80B7C">
              <w:rPr>
                <w:rFonts w:eastAsiaTheme="minorEastAsia"/>
                <w:noProof/>
                <w:lang w:val="en-US"/>
              </w:rPr>
              <w:tab/>
            </w:r>
            <w:r w:rsidR="00B80B7C" w:rsidRPr="00C56531">
              <w:rPr>
                <w:rStyle w:val="Hyperlink"/>
                <w:noProof/>
                <w:lang w:val="fr-FR"/>
              </w:rPr>
              <w:t>Compétitivité : coûts de l’énergie</w:t>
            </w:r>
            <w:r w:rsidR="00B80B7C">
              <w:rPr>
                <w:noProof/>
                <w:webHidden/>
              </w:rPr>
              <w:tab/>
            </w:r>
            <w:r w:rsidR="00B80B7C">
              <w:rPr>
                <w:noProof/>
                <w:webHidden/>
              </w:rPr>
              <w:fldChar w:fldCharType="begin"/>
            </w:r>
            <w:r w:rsidR="00B80B7C">
              <w:rPr>
                <w:noProof/>
                <w:webHidden/>
              </w:rPr>
              <w:instrText xml:space="preserve"> PAGEREF _Toc431453527 \h </w:instrText>
            </w:r>
            <w:r w:rsidR="00B80B7C">
              <w:rPr>
                <w:noProof/>
                <w:webHidden/>
              </w:rPr>
            </w:r>
            <w:r w:rsidR="00B80B7C">
              <w:rPr>
                <w:noProof/>
                <w:webHidden/>
              </w:rPr>
              <w:fldChar w:fldCharType="separate"/>
            </w:r>
            <w:r w:rsidR="00B80B7C">
              <w:rPr>
                <w:noProof/>
                <w:webHidden/>
              </w:rPr>
              <w:t>17</w:t>
            </w:r>
            <w:r w:rsidR="00B80B7C">
              <w:rPr>
                <w:noProof/>
                <w:webHidden/>
              </w:rPr>
              <w:fldChar w:fldCharType="end"/>
            </w:r>
          </w:hyperlink>
        </w:p>
        <w:p w:rsidR="00B80B7C" w:rsidRDefault="00AB7BC9">
          <w:pPr>
            <w:pStyle w:val="TOC1"/>
            <w:tabs>
              <w:tab w:val="left" w:pos="440"/>
              <w:tab w:val="right" w:leader="dot" w:pos="9062"/>
            </w:tabs>
            <w:rPr>
              <w:rFonts w:eastAsiaTheme="minorEastAsia"/>
              <w:noProof/>
              <w:lang w:val="en-US"/>
            </w:rPr>
          </w:pPr>
          <w:hyperlink w:anchor="_Toc431453528" w:history="1">
            <w:r w:rsidR="00B80B7C" w:rsidRPr="00C56531">
              <w:rPr>
                <w:rStyle w:val="Hyperlink"/>
                <w:noProof/>
                <w:lang w:val="fr-FR"/>
              </w:rPr>
              <w:t>6.</w:t>
            </w:r>
            <w:r w:rsidR="00B80B7C">
              <w:rPr>
                <w:rFonts w:eastAsiaTheme="minorEastAsia"/>
                <w:noProof/>
                <w:lang w:val="en-US"/>
              </w:rPr>
              <w:tab/>
            </w:r>
            <w:r w:rsidR="00B80B7C" w:rsidRPr="00C56531">
              <w:rPr>
                <w:rStyle w:val="Hyperlink"/>
                <w:noProof/>
                <w:lang w:val="fr-FR"/>
              </w:rPr>
              <w:t>Exportations et commerce extérieur</w:t>
            </w:r>
            <w:r w:rsidR="00B80B7C">
              <w:rPr>
                <w:noProof/>
                <w:webHidden/>
              </w:rPr>
              <w:tab/>
            </w:r>
            <w:r w:rsidR="00B80B7C">
              <w:rPr>
                <w:noProof/>
                <w:webHidden/>
              </w:rPr>
              <w:fldChar w:fldCharType="begin"/>
            </w:r>
            <w:r w:rsidR="00B80B7C">
              <w:rPr>
                <w:noProof/>
                <w:webHidden/>
              </w:rPr>
              <w:instrText xml:space="preserve"> PAGEREF _Toc431453528 \h </w:instrText>
            </w:r>
            <w:r w:rsidR="00B80B7C">
              <w:rPr>
                <w:noProof/>
                <w:webHidden/>
              </w:rPr>
            </w:r>
            <w:r w:rsidR="00B80B7C">
              <w:rPr>
                <w:noProof/>
                <w:webHidden/>
              </w:rPr>
              <w:fldChar w:fldCharType="separate"/>
            </w:r>
            <w:r w:rsidR="00B80B7C">
              <w:rPr>
                <w:noProof/>
                <w:webHidden/>
              </w:rPr>
              <w:t>18</w:t>
            </w:r>
            <w:r w:rsidR="00B80B7C">
              <w:rPr>
                <w:noProof/>
                <w:webHidden/>
              </w:rPr>
              <w:fldChar w:fldCharType="end"/>
            </w:r>
          </w:hyperlink>
        </w:p>
        <w:p w:rsidR="00B80B7C" w:rsidRDefault="00AB7BC9">
          <w:pPr>
            <w:pStyle w:val="TOC2"/>
            <w:tabs>
              <w:tab w:val="right" w:leader="dot" w:pos="9062"/>
            </w:tabs>
            <w:rPr>
              <w:rFonts w:eastAsiaTheme="minorEastAsia"/>
              <w:noProof/>
              <w:lang w:val="en-US"/>
            </w:rPr>
          </w:pPr>
          <w:hyperlink w:anchor="_Toc431453529" w:history="1">
            <w:r w:rsidR="00B80B7C" w:rsidRPr="00C56531">
              <w:rPr>
                <w:rStyle w:val="Hyperlink"/>
                <w:noProof/>
                <w:lang w:val="fr-BE"/>
              </w:rPr>
              <w:t>6.1</w:t>
            </w:r>
            <w:r w:rsidR="00B80B7C" w:rsidRPr="00C56531">
              <w:rPr>
                <w:rStyle w:val="Hyperlink"/>
                <w:rFonts w:hAnsi="Times New Roman"/>
                <w:b/>
                <w:bCs/>
                <w:noProof/>
                <w:color w:val="5959FF" w:themeColor="hyperlink" w:themeTint="A6"/>
                <w:kern w:val="24"/>
                <w:lang w:val="fr-FR" w:eastAsia="nl-BE"/>
              </w:rPr>
              <w:t xml:space="preserve"> </w:t>
            </w:r>
            <w:r w:rsidR="00B80B7C" w:rsidRPr="00C56531">
              <w:rPr>
                <w:rStyle w:val="Hyperlink"/>
                <w:noProof/>
                <w:lang w:val="fr-FR"/>
              </w:rPr>
              <w:t>Répartition des exportations par marché d’exportations et par groupe de produits</w:t>
            </w:r>
            <w:r w:rsidR="00B80B7C">
              <w:rPr>
                <w:noProof/>
                <w:webHidden/>
              </w:rPr>
              <w:tab/>
            </w:r>
            <w:r w:rsidR="00B80B7C">
              <w:rPr>
                <w:noProof/>
                <w:webHidden/>
              </w:rPr>
              <w:fldChar w:fldCharType="begin"/>
            </w:r>
            <w:r w:rsidR="00B80B7C">
              <w:rPr>
                <w:noProof/>
                <w:webHidden/>
              </w:rPr>
              <w:instrText xml:space="preserve"> PAGEREF _Toc431453529 \h </w:instrText>
            </w:r>
            <w:r w:rsidR="00B80B7C">
              <w:rPr>
                <w:noProof/>
                <w:webHidden/>
              </w:rPr>
            </w:r>
            <w:r w:rsidR="00B80B7C">
              <w:rPr>
                <w:noProof/>
                <w:webHidden/>
              </w:rPr>
              <w:fldChar w:fldCharType="separate"/>
            </w:r>
            <w:r w:rsidR="00B80B7C">
              <w:rPr>
                <w:noProof/>
                <w:webHidden/>
              </w:rPr>
              <w:t>19</w:t>
            </w:r>
            <w:r w:rsidR="00B80B7C">
              <w:rPr>
                <w:noProof/>
                <w:webHidden/>
              </w:rPr>
              <w:fldChar w:fldCharType="end"/>
            </w:r>
          </w:hyperlink>
        </w:p>
        <w:p w:rsidR="00B80B7C" w:rsidRDefault="00AB7BC9">
          <w:pPr>
            <w:pStyle w:val="TOC1"/>
            <w:tabs>
              <w:tab w:val="right" w:leader="dot" w:pos="9062"/>
            </w:tabs>
            <w:rPr>
              <w:rFonts w:eastAsiaTheme="minorEastAsia"/>
              <w:noProof/>
              <w:lang w:val="en-US"/>
            </w:rPr>
          </w:pPr>
          <w:hyperlink w:anchor="_Toc431453530" w:history="1">
            <w:r w:rsidR="00B80B7C" w:rsidRPr="00C56531">
              <w:rPr>
                <w:rStyle w:val="Hyperlink"/>
                <w:noProof/>
                <w:lang w:val="fr-FR"/>
              </w:rPr>
              <w:t>Liste d’abréviations</w:t>
            </w:r>
            <w:r w:rsidR="00B80B7C">
              <w:rPr>
                <w:noProof/>
                <w:webHidden/>
              </w:rPr>
              <w:tab/>
            </w:r>
          </w:hyperlink>
        </w:p>
        <w:p w:rsidR="00021A99" w:rsidRPr="00434F80" w:rsidRDefault="00EA08D2" w:rsidP="00434F80">
          <w:r>
            <w:rPr>
              <w:b/>
              <w:bCs/>
              <w:noProof/>
            </w:rPr>
            <w:fldChar w:fldCharType="end"/>
          </w:r>
        </w:p>
      </w:sdtContent>
    </w:sdt>
    <w:p w:rsidR="00021A99" w:rsidRDefault="00021A99" w:rsidP="007444C8">
      <w:pPr>
        <w:rPr>
          <w:lang w:val="fr-FR"/>
        </w:rPr>
      </w:pPr>
    </w:p>
    <w:p w:rsidR="00021A99" w:rsidRDefault="00021A99" w:rsidP="007444C8">
      <w:pPr>
        <w:rPr>
          <w:lang w:val="fr-FR"/>
        </w:rPr>
      </w:pPr>
    </w:p>
    <w:p w:rsidR="00021A99" w:rsidRDefault="00021A99" w:rsidP="007444C8">
      <w:pPr>
        <w:rPr>
          <w:lang w:val="fr-FR"/>
        </w:rPr>
      </w:pPr>
    </w:p>
    <w:p w:rsidR="007444C8" w:rsidRDefault="007444C8" w:rsidP="007444C8">
      <w:pPr>
        <w:rPr>
          <w:rFonts w:asciiTheme="majorHAnsi" w:eastAsiaTheme="majorEastAsia" w:hAnsiTheme="majorHAnsi" w:cstheme="majorBidi"/>
          <w:color w:val="17365D" w:themeColor="text2" w:themeShade="BF"/>
          <w:spacing w:val="5"/>
          <w:kern w:val="28"/>
          <w:sz w:val="52"/>
          <w:szCs w:val="52"/>
          <w:lang w:val="fr-FR"/>
        </w:rPr>
      </w:pPr>
    </w:p>
    <w:p w:rsidR="007444C8" w:rsidRDefault="007444C8" w:rsidP="007444C8">
      <w:pPr>
        <w:rPr>
          <w:rFonts w:asciiTheme="majorHAnsi" w:eastAsiaTheme="majorEastAsia" w:hAnsiTheme="majorHAnsi" w:cstheme="majorBidi"/>
          <w:color w:val="17365D" w:themeColor="text2" w:themeShade="BF"/>
          <w:spacing w:val="5"/>
          <w:kern w:val="28"/>
          <w:sz w:val="52"/>
          <w:szCs w:val="52"/>
          <w:lang w:val="fr-FR"/>
        </w:rPr>
      </w:pPr>
    </w:p>
    <w:p w:rsidR="007444C8" w:rsidRDefault="007444C8" w:rsidP="007444C8">
      <w:pPr>
        <w:rPr>
          <w:lang w:val="fr-FR"/>
        </w:rPr>
      </w:pPr>
    </w:p>
    <w:p w:rsidR="00434F80" w:rsidRDefault="00434F80" w:rsidP="007444C8">
      <w:pPr>
        <w:rPr>
          <w:lang w:val="fr-FR"/>
        </w:rPr>
      </w:pPr>
    </w:p>
    <w:p w:rsidR="00434F80" w:rsidRDefault="00434F80" w:rsidP="007444C8">
      <w:pPr>
        <w:rPr>
          <w:lang w:val="fr-FR"/>
        </w:rPr>
      </w:pPr>
    </w:p>
    <w:p w:rsidR="00434F80" w:rsidRDefault="00434F80" w:rsidP="007444C8">
      <w:pPr>
        <w:rPr>
          <w:lang w:val="fr-FR"/>
        </w:rPr>
      </w:pPr>
    </w:p>
    <w:p w:rsidR="00434F80" w:rsidRDefault="00434F80" w:rsidP="007444C8">
      <w:pPr>
        <w:rPr>
          <w:lang w:val="fr-FR"/>
        </w:rPr>
      </w:pPr>
    </w:p>
    <w:p w:rsidR="00434F80" w:rsidRPr="007444C8" w:rsidRDefault="00434F80" w:rsidP="007444C8">
      <w:pPr>
        <w:rPr>
          <w:lang w:val="fr-FR"/>
        </w:rPr>
      </w:pPr>
    </w:p>
    <w:p w:rsidR="007444C8" w:rsidRDefault="007444C8" w:rsidP="007444C8">
      <w:pPr>
        <w:rPr>
          <w:lang w:val="fr-FR"/>
        </w:rPr>
      </w:pPr>
    </w:p>
    <w:p w:rsidR="00294900" w:rsidRDefault="00294900" w:rsidP="007444C8">
      <w:pPr>
        <w:rPr>
          <w:lang w:val="fr-FR"/>
        </w:rPr>
      </w:pPr>
    </w:p>
    <w:p w:rsidR="00AB7BC9" w:rsidRPr="007444C8" w:rsidRDefault="00AB7BC9" w:rsidP="007444C8">
      <w:pPr>
        <w:rPr>
          <w:lang w:val="fr-FR"/>
        </w:rPr>
      </w:pPr>
      <w:bookmarkStart w:id="0" w:name="_GoBack"/>
      <w:bookmarkEnd w:id="0"/>
    </w:p>
    <w:p w:rsidR="00021A99" w:rsidRDefault="00EA08D2" w:rsidP="00120115">
      <w:pPr>
        <w:pStyle w:val="Heading1"/>
        <w:spacing w:before="0"/>
        <w:rPr>
          <w:lang w:val="fr-FR"/>
        </w:rPr>
      </w:pPr>
      <w:bookmarkStart w:id="1" w:name="_Toc431453519"/>
      <w:r>
        <w:rPr>
          <w:lang w:val="fr-FR"/>
        </w:rPr>
        <w:lastRenderedPageBreak/>
        <w:t>Synthèse</w:t>
      </w:r>
      <w:bookmarkEnd w:id="1"/>
    </w:p>
    <w:p w:rsidR="00294900" w:rsidRDefault="00294900" w:rsidP="00120115">
      <w:pPr>
        <w:spacing w:after="0"/>
        <w:jc w:val="both"/>
        <w:rPr>
          <w:b/>
          <w:lang w:val="fr-FR"/>
        </w:rPr>
      </w:pPr>
      <w:r w:rsidRPr="00294900">
        <w:rPr>
          <w:b/>
          <w:noProof/>
          <w:lang w:eastAsia="nl-BE"/>
        </w:rPr>
        <mc:AlternateContent>
          <mc:Choice Requires="wps">
            <w:drawing>
              <wp:anchor distT="45720" distB="45720" distL="114300" distR="114300" simplePos="0" relativeHeight="251659264" behindDoc="0" locked="0" layoutInCell="1" allowOverlap="1" wp14:anchorId="709DEF62" wp14:editId="75F56B93">
                <wp:simplePos x="0" y="0"/>
                <wp:positionH relativeFrom="column">
                  <wp:posOffset>3938905</wp:posOffset>
                </wp:positionH>
                <wp:positionV relativeFrom="paragraph">
                  <wp:posOffset>156210</wp:posOffset>
                </wp:positionV>
                <wp:extent cx="1948180" cy="8420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180" cy="8420100"/>
                        </a:xfrm>
                        <a:prstGeom prst="rect">
                          <a:avLst/>
                        </a:prstGeom>
                        <a:solidFill>
                          <a:srgbClr val="FFFFFF"/>
                        </a:solidFill>
                        <a:ln w="9525">
                          <a:noFill/>
                          <a:miter lim="800000"/>
                          <a:headEnd/>
                          <a:tailEnd/>
                        </a:ln>
                      </wps:spPr>
                      <wps:txbx>
                        <w:txbxContent>
                          <w:p w:rsidR="00294900" w:rsidRDefault="00C432D5">
                            <w:pPr>
                              <w:rPr>
                                <w:lang w:val="fr-FR"/>
                              </w:rPr>
                            </w:pPr>
                            <w:r>
                              <w:rPr>
                                <w:lang w:val="fr-FR"/>
                              </w:rPr>
                              <w:t>« </w:t>
                            </w:r>
                            <w:r w:rsidR="0076465D">
                              <w:rPr>
                                <w:b/>
                                <w:i/>
                                <w:sz w:val="28"/>
                                <w:szCs w:val="28"/>
                                <w:lang w:val="fr-FR"/>
                              </w:rPr>
                              <w:t>Un</w:t>
                            </w:r>
                            <w:r w:rsidRPr="00120115">
                              <w:rPr>
                                <w:b/>
                                <w:i/>
                                <w:sz w:val="28"/>
                                <w:szCs w:val="28"/>
                                <w:lang w:val="fr-FR"/>
                              </w:rPr>
                              <w:t xml:space="preserve"> maillon fort de l’industrie wallonne</w:t>
                            </w:r>
                            <w:r>
                              <w:rPr>
                                <w:lang w:val="fr-FR"/>
                              </w:rPr>
                              <w:t> »</w:t>
                            </w:r>
                          </w:p>
                          <w:p w:rsidR="00C432D5" w:rsidRDefault="00C432D5">
                            <w:pPr>
                              <w:rPr>
                                <w:lang w:val="fr-FR"/>
                              </w:rPr>
                            </w:pPr>
                          </w:p>
                          <w:p w:rsidR="00C432D5" w:rsidRDefault="00C432D5">
                            <w:pPr>
                              <w:rPr>
                                <w:lang w:val="fr-FR"/>
                              </w:rPr>
                            </w:pPr>
                          </w:p>
                          <w:p w:rsidR="00C432D5" w:rsidRDefault="00C432D5">
                            <w:pPr>
                              <w:rPr>
                                <w:lang w:val="fr-FR"/>
                              </w:rPr>
                            </w:pPr>
                          </w:p>
                          <w:p w:rsidR="00C432D5" w:rsidRDefault="00C432D5">
                            <w:pPr>
                              <w:rPr>
                                <w:lang w:val="fr-FR"/>
                              </w:rPr>
                            </w:pPr>
                          </w:p>
                          <w:p w:rsidR="00C432D5" w:rsidRDefault="00C432D5">
                            <w:pPr>
                              <w:rPr>
                                <w:lang w:val="fr-FR"/>
                              </w:rPr>
                            </w:pPr>
                          </w:p>
                          <w:p w:rsidR="00C432D5" w:rsidRDefault="00C432D5">
                            <w:pPr>
                              <w:rPr>
                                <w:lang w:val="fr-FR"/>
                              </w:rPr>
                            </w:pPr>
                          </w:p>
                          <w:p w:rsidR="00C432D5" w:rsidRDefault="00C432D5">
                            <w:pPr>
                              <w:rPr>
                                <w:lang w:val="fr-FR"/>
                              </w:rPr>
                            </w:pPr>
                          </w:p>
                          <w:p w:rsidR="00C432D5" w:rsidRDefault="00C432D5">
                            <w:pPr>
                              <w:rPr>
                                <w:lang w:val="fr-FR"/>
                              </w:rPr>
                            </w:pPr>
                          </w:p>
                          <w:p w:rsidR="00C432D5" w:rsidRDefault="00C432D5">
                            <w:pPr>
                              <w:rPr>
                                <w:lang w:val="fr-FR"/>
                              </w:rPr>
                            </w:pPr>
                          </w:p>
                          <w:p w:rsidR="00C432D5" w:rsidRPr="00120115" w:rsidRDefault="00C432D5">
                            <w:pPr>
                              <w:rPr>
                                <w:lang w:val="fr-BE"/>
                              </w:rPr>
                            </w:pPr>
                          </w:p>
                          <w:p w:rsidR="00C432D5" w:rsidRPr="003B57AD" w:rsidRDefault="00C432D5" w:rsidP="00C432D5">
                            <w:pPr>
                              <w:rPr>
                                <w:lang w:val="fr-BE"/>
                              </w:rPr>
                            </w:pPr>
                            <w:r>
                              <w:rPr>
                                <w:lang w:val="fr-FR"/>
                              </w:rPr>
                              <w:t>« </w:t>
                            </w:r>
                            <w:r>
                              <w:rPr>
                                <w:b/>
                                <w:i/>
                                <w:sz w:val="28"/>
                                <w:szCs w:val="28"/>
                                <w:lang w:val="fr-FR"/>
                              </w:rPr>
                              <w:t>20.697 salariés direct</w:t>
                            </w:r>
                            <w:r w:rsidR="0076465D">
                              <w:rPr>
                                <w:b/>
                                <w:i/>
                                <w:sz w:val="28"/>
                                <w:szCs w:val="28"/>
                                <w:lang w:val="fr-FR"/>
                              </w:rPr>
                              <w:t>s</w:t>
                            </w:r>
                            <w:r>
                              <w:rPr>
                                <w:b/>
                                <w:i/>
                                <w:sz w:val="28"/>
                                <w:szCs w:val="28"/>
                                <w:lang w:val="fr-FR"/>
                              </w:rPr>
                              <w:t xml:space="preserve"> et 32.080 indirect</w:t>
                            </w:r>
                            <w:r w:rsidR="0076465D">
                              <w:rPr>
                                <w:b/>
                                <w:i/>
                                <w:sz w:val="28"/>
                                <w:szCs w:val="28"/>
                                <w:lang w:val="fr-FR"/>
                              </w:rPr>
                              <w:t>s</w:t>
                            </w:r>
                            <w:r>
                              <w:rPr>
                                <w:lang w:val="fr-FR"/>
                              </w:rPr>
                              <w:t> »</w:t>
                            </w:r>
                          </w:p>
                          <w:p w:rsidR="00294900" w:rsidRPr="00120115" w:rsidRDefault="00294900">
                            <w:pPr>
                              <w:rPr>
                                <w:lang w:val="fr-BE"/>
                              </w:rPr>
                            </w:pPr>
                          </w:p>
                          <w:p w:rsidR="00294900" w:rsidRPr="00120115" w:rsidRDefault="00294900">
                            <w:pPr>
                              <w:rPr>
                                <w:lang w:val="fr-BE"/>
                              </w:rPr>
                            </w:pPr>
                          </w:p>
                          <w:p w:rsidR="00294900" w:rsidRPr="00120115" w:rsidRDefault="00294900">
                            <w:pPr>
                              <w:rPr>
                                <w:lang w:val="fr-BE"/>
                              </w:rPr>
                            </w:pPr>
                          </w:p>
                          <w:p w:rsidR="00294900" w:rsidRPr="00120115" w:rsidRDefault="00294900">
                            <w:pPr>
                              <w:rPr>
                                <w:lang w:val="fr-BE"/>
                              </w:rPr>
                            </w:pPr>
                          </w:p>
                          <w:p w:rsidR="00294900" w:rsidRPr="00120115" w:rsidRDefault="00294900">
                            <w:pPr>
                              <w:rPr>
                                <w:lang w:val="fr-BE"/>
                              </w:rPr>
                            </w:pPr>
                          </w:p>
                          <w:p w:rsidR="00294900" w:rsidRPr="00120115" w:rsidRDefault="00294900">
                            <w:pPr>
                              <w:rPr>
                                <w:lang w:val="fr-BE"/>
                              </w:rPr>
                            </w:pPr>
                          </w:p>
                          <w:p w:rsidR="00294900" w:rsidRPr="00120115" w:rsidRDefault="00294900">
                            <w:pPr>
                              <w:rPr>
                                <w:lang w:val="fr-BE"/>
                              </w:rPr>
                            </w:pPr>
                          </w:p>
                          <w:p w:rsidR="00294900" w:rsidRDefault="00294900">
                            <w:pPr>
                              <w:rPr>
                                <w:lang w:val="fr-BE"/>
                              </w:rPr>
                            </w:pPr>
                          </w:p>
                          <w:p w:rsidR="00C432D5" w:rsidRPr="00120115" w:rsidRDefault="00C432D5">
                            <w:pPr>
                              <w:rPr>
                                <w:lang w:val="fr-BE"/>
                              </w:rPr>
                            </w:pPr>
                          </w:p>
                          <w:p w:rsidR="00C432D5" w:rsidRPr="003B57AD" w:rsidRDefault="00C432D5" w:rsidP="00C432D5">
                            <w:pPr>
                              <w:rPr>
                                <w:lang w:val="fr-BE"/>
                              </w:rPr>
                            </w:pPr>
                            <w:r>
                              <w:rPr>
                                <w:lang w:val="fr-FR"/>
                              </w:rPr>
                              <w:t>« </w:t>
                            </w:r>
                            <w:r>
                              <w:rPr>
                                <w:b/>
                                <w:i/>
                                <w:sz w:val="28"/>
                                <w:szCs w:val="28"/>
                                <w:lang w:val="fr-FR"/>
                              </w:rPr>
                              <w:t>Balance commerciale de presque 0,9 milliards d’euros</w:t>
                            </w:r>
                            <w:r>
                              <w:rPr>
                                <w:lang w:val="fr-FR"/>
                              </w:rPr>
                              <w:t> »</w:t>
                            </w:r>
                          </w:p>
                          <w:p w:rsidR="00294900" w:rsidRPr="00120115" w:rsidRDefault="00294900">
                            <w:pPr>
                              <w:rPr>
                                <w:lang w:val="fr-BE"/>
                              </w:rPr>
                            </w:pPr>
                          </w:p>
                          <w:p w:rsidR="00294900" w:rsidRPr="00120115" w:rsidRDefault="00294900">
                            <w:pPr>
                              <w:rPr>
                                <w:lang w:val="fr-BE"/>
                              </w:rPr>
                            </w:pPr>
                          </w:p>
                          <w:p w:rsidR="00294900" w:rsidRPr="00120115" w:rsidRDefault="00294900">
                            <w:pPr>
                              <w:rPr>
                                <w:lang w:val="fr-BE"/>
                              </w:rPr>
                            </w:pPr>
                          </w:p>
                          <w:p w:rsidR="00294900" w:rsidRPr="00120115" w:rsidRDefault="00294900">
                            <w:pPr>
                              <w:rPr>
                                <w:lang w:val="fr-BE"/>
                              </w:rPr>
                            </w:pPr>
                          </w:p>
                          <w:p w:rsidR="00294900" w:rsidRPr="00120115" w:rsidRDefault="00294900">
                            <w:pPr>
                              <w:rPr>
                                <w:lang w:val="fr-BE"/>
                              </w:rPr>
                            </w:pPr>
                          </w:p>
                          <w:p w:rsidR="00294900" w:rsidRPr="00120115" w:rsidRDefault="00294900">
                            <w:pPr>
                              <w:rPr>
                                <w:lang w:val="fr-BE"/>
                              </w:rPr>
                            </w:pPr>
                          </w:p>
                          <w:p w:rsidR="00294900" w:rsidRPr="00120115" w:rsidRDefault="00294900">
                            <w:pPr>
                              <w:rPr>
                                <w:lang w:val="fr-BE"/>
                              </w:rPr>
                            </w:pPr>
                          </w:p>
                          <w:p w:rsidR="00294900" w:rsidRPr="00120115" w:rsidRDefault="00294900">
                            <w:pPr>
                              <w:rPr>
                                <w:lang w:val="fr-BE"/>
                              </w:rPr>
                            </w:pPr>
                          </w:p>
                          <w:p w:rsidR="00294900" w:rsidRPr="00120115" w:rsidRDefault="00294900">
                            <w:pPr>
                              <w:rPr>
                                <w:lang w:val="fr-BE"/>
                              </w:rPr>
                            </w:pPr>
                          </w:p>
                          <w:p w:rsidR="00294900" w:rsidRPr="00120115" w:rsidRDefault="00294900">
                            <w:pPr>
                              <w:rPr>
                                <w:lang w:val="fr-BE"/>
                              </w:rPr>
                            </w:pPr>
                          </w:p>
                          <w:p w:rsidR="00294900" w:rsidRPr="00120115" w:rsidRDefault="00294900">
                            <w:pPr>
                              <w:rPr>
                                <w:lang w:val="fr-BE"/>
                              </w:rPr>
                            </w:pPr>
                          </w:p>
                          <w:p w:rsidR="00294900" w:rsidRPr="00120115" w:rsidRDefault="00294900">
                            <w:pPr>
                              <w:rPr>
                                <w:lang w:val="fr-BE"/>
                              </w:rPr>
                            </w:pPr>
                          </w:p>
                          <w:p w:rsidR="00294900" w:rsidRPr="00120115" w:rsidRDefault="00294900">
                            <w:pPr>
                              <w:rPr>
                                <w:lang w:val="fr-BE"/>
                              </w:rPr>
                            </w:pPr>
                          </w:p>
                          <w:p w:rsidR="00294900" w:rsidRPr="00120115" w:rsidRDefault="00294900">
                            <w:pPr>
                              <w:rPr>
                                <w:lang w:val="fr-BE"/>
                              </w:rPr>
                            </w:pPr>
                          </w:p>
                          <w:p w:rsidR="00294900" w:rsidRPr="00120115" w:rsidRDefault="00294900">
                            <w:pPr>
                              <w:rPr>
                                <w:lang w:val="fr-BE"/>
                              </w:rPr>
                            </w:pPr>
                          </w:p>
                          <w:p w:rsidR="00294900" w:rsidRPr="00120115" w:rsidRDefault="00294900">
                            <w:pPr>
                              <w:rPr>
                                <w:lang w:val="fr-BE"/>
                              </w:rPr>
                            </w:pPr>
                          </w:p>
                          <w:p w:rsidR="00294900" w:rsidRPr="00120115" w:rsidRDefault="00294900">
                            <w:pPr>
                              <w:rPr>
                                <w:lang w:val="fr-BE"/>
                              </w:rPr>
                            </w:pPr>
                          </w:p>
                          <w:p w:rsidR="00294900" w:rsidRPr="00120115" w:rsidRDefault="00294900">
                            <w:pPr>
                              <w:rPr>
                                <w:lang w:val="fr-BE"/>
                              </w:rPr>
                            </w:pPr>
                          </w:p>
                          <w:p w:rsidR="00294900" w:rsidRPr="00120115" w:rsidRDefault="00294900">
                            <w:pPr>
                              <w:rPr>
                                <w:lang w:val="fr-BE"/>
                              </w:rPr>
                            </w:pPr>
                          </w:p>
                          <w:p w:rsidR="00294900" w:rsidRPr="00120115" w:rsidRDefault="00294900">
                            <w:pPr>
                              <w:rPr>
                                <w:lang w:val="fr-BE"/>
                              </w:rPr>
                            </w:pPr>
                          </w:p>
                          <w:p w:rsidR="00294900" w:rsidRPr="00120115" w:rsidRDefault="00294900">
                            <w:pPr>
                              <w:rPr>
                                <w:lang w:val="fr-BE"/>
                              </w:rPr>
                            </w:pPr>
                          </w:p>
                          <w:p w:rsidR="00294900" w:rsidRPr="00120115" w:rsidRDefault="00294900">
                            <w:pPr>
                              <w:rPr>
                                <w:lang w:val="fr-B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9DEF62" id="_x0000_t202" coordsize="21600,21600" o:spt="202" path="m,l,21600r21600,l21600,xe">
                <v:stroke joinstyle="miter"/>
                <v:path gradientshapeok="t" o:connecttype="rect"/>
              </v:shapetype>
              <v:shape id="Text Box 2" o:spid="_x0000_s1026" type="#_x0000_t202" style="position:absolute;left:0;text-align:left;margin-left:310.15pt;margin-top:12.3pt;width:153.4pt;height:66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" stroked="f">
                <v:textbox>
                  <w:txbxContent>
                    <w:p w:rsidR="00294900" w:rsidRDefault="00C432D5">
                      <w:pPr>
                        <w:rPr>
                          <w:lang w:val="fr-FR"/>
                        </w:rPr>
                      </w:pPr>
                      <w:r>
                        <w:rPr>
                          <w:lang w:val="fr-FR"/>
                        </w:rPr>
                        <w:t>« </w:t>
                      </w:r>
                      <w:r w:rsidR="0076465D">
                        <w:rPr>
                          <w:b/>
                          <w:i/>
                          <w:sz w:val="28"/>
                          <w:szCs w:val="28"/>
                          <w:lang w:val="fr-FR"/>
                        </w:rPr>
                        <w:t>Un</w:t>
                      </w:r>
                      <w:r w:rsidRPr="00120115">
                        <w:rPr>
                          <w:b/>
                          <w:i/>
                          <w:sz w:val="28"/>
                          <w:szCs w:val="28"/>
                          <w:lang w:val="fr-FR"/>
                        </w:rPr>
                        <w:t xml:space="preserve"> maillon fort de l’industrie wallonne</w:t>
                      </w:r>
                      <w:r>
                        <w:rPr>
                          <w:lang w:val="fr-FR"/>
                        </w:rPr>
                        <w:t> »</w:t>
                      </w:r>
                    </w:p>
                    <w:p w:rsidR="00C432D5" w:rsidRDefault="00C432D5">
                      <w:pPr>
                        <w:rPr>
                          <w:lang w:val="fr-FR"/>
                        </w:rPr>
                      </w:pPr>
                    </w:p>
                    <w:p w:rsidR="00C432D5" w:rsidRDefault="00C432D5">
                      <w:pPr>
                        <w:rPr>
                          <w:lang w:val="fr-FR"/>
                        </w:rPr>
                      </w:pPr>
                    </w:p>
                    <w:p w:rsidR="00C432D5" w:rsidRDefault="00C432D5">
                      <w:pPr>
                        <w:rPr>
                          <w:lang w:val="fr-FR"/>
                        </w:rPr>
                      </w:pPr>
                    </w:p>
                    <w:p w:rsidR="00C432D5" w:rsidRDefault="00C432D5">
                      <w:pPr>
                        <w:rPr>
                          <w:lang w:val="fr-FR"/>
                        </w:rPr>
                      </w:pPr>
                    </w:p>
                    <w:p w:rsidR="00C432D5" w:rsidRDefault="00C432D5">
                      <w:pPr>
                        <w:rPr>
                          <w:lang w:val="fr-FR"/>
                        </w:rPr>
                      </w:pPr>
                    </w:p>
                    <w:p w:rsidR="00C432D5" w:rsidRDefault="00C432D5">
                      <w:pPr>
                        <w:rPr>
                          <w:lang w:val="fr-FR"/>
                        </w:rPr>
                      </w:pPr>
                    </w:p>
                    <w:p w:rsidR="00C432D5" w:rsidRDefault="00C432D5">
                      <w:pPr>
                        <w:rPr>
                          <w:lang w:val="fr-FR"/>
                        </w:rPr>
                      </w:pPr>
                    </w:p>
                    <w:p w:rsidR="00C432D5" w:rsidRDefault="00C432D5">
                      <w:pPr>
                        <w:rPr>
                          <w:lang w:val="fr-FR"/>
                        </w:rPr>
                      </w:pPr>
                    </w:p>
                    <w:p w:rsidR="00C432D5" w:rsidRDefault="00C432D5">
                      <w:pPr>
                        <w:rPr>
                          <w:lang w:val="fr-FR"/>
                        </w:rPr>
                      </w:pPr>
                    </w:p>
                    <w:p w:rsidR="00C432D5" w:rsidRPr="00120115" w:rsidRDefault="00C432D5">
                      <w:pPr>
                        <w:rPr>
                          <w:lang w:val="fr-BE"/>
                        </w:rPr>
                      </w:pPr>
                    </w:p>
                    <w:p w:rsidR="00C432D5" w:rsidRPr="003B57AD" w:rsidRDefault="00C432D5" w:rsidP="00C432D5">
                      <w:pPr>
                        <w:rPr>
                          <w:lang w:val="fr-BE"/>
                        </w:rPr>
                      </w:pPr>
                      <w:r>
                        <w:rPr>
                          <w:lang w:val="fr-FR"/>
                        </w:rPr>
                        <w:t>« </w:t>
                      </w:r>
                      <w:r>
                        <w:rPr>
                          <w:b/>
                          <w:i/>
                          <w:sz w:val="28"/>
                          <w:szCs w:val="28"/>
                          <w:lang w:val="fr-FR"/>
                        </w:rPr>
                        <w:t>20.697 salariés direct</w:t>
                      </w:r>
                      <w:r w:rsidR="0076465D">
                        <w:rPr>
                          <w:b/>
                          <w:i/>
                          <w:sz w:val="28"/>
                          <w:szCs w:val="28"/>
                          <w:lang w:val="fr-FR"/>
                        </w:rPr>
                        <w:t>s</w:t>
                      </w:r>
                      <w:r>
                        <w:rPr>
                          <w:b/>
                          <w:i/>
                          <w:sz w:val="28"/>
                          <w:szCs w:val="28"/>
                          <w:lang w:val="fr-FR"/>
                        </w:rPr>
                        <w:t xml:space="preserve"> et 32.080 indirect</w:t>
                      </w:r>
                      <w:r w:rsidR="0076465D">
                        <w:rPr>
                          <w:b/>
                          <w:i/>
                          <w:sz w:val="28"/>
                          <w:szCs w:val="28"/>
                          <w:lang w:val="fr-FR"/>
                        </w:rPr>
                        <w:t>s</w:t>
                      </w:r>
                      <w:r>
                        <w:rPr>
                          <w:lang w:val="fr-FR"/>
                        </w:rPr>
                        <w:t> »</w:t>
                      </w:r>
                    </w:p>
                    <w:p w:rsidR="00294900" w:rsidRPr="00120115" w:rsidRDefault="00294900">
                      <w:pPr>
                        <w:rPr>
                          <w:lang w:val="fr-BE"/>
                        </w:rPr>
                      </w:pPr>
                    </w:p>
                    <w:p w:rsidR="00294900" w:rsidRPr="00120115" w:rsidRDefault="00294900">
                      <w:pPr>
                        <w:rPr>
                          <w:lang w:val="fr-BE"/>
                        </w:rPr>
                      </w:pPr>
                    </w:p>
                    <w:p w:rsidR="00294900" w:rsidRPr="00120115" w:rsidRDefault="00294900">
                      <w:pPr>
                        <w:rPr>
                          <w:lang w:val="fr-BE"/>
                        </w:rPr>
                      </w:pPr>
                    </w:p>
                    <w:p w:rsidR="00294900" w:rsidRPr="00120115" w:rsidRDefault="00294900">
                      <w:pPr>
                        <w:rPr>
                          <w:lang w:val="fr-BE"/>
                        </w:rPr>
                      </w:pPr>
                    </w:p>
                    <w:p w:rsidR="00294900" w:rsidRPr="00120115" w:rsidRDefault="00294900">
                      <w:pPr>
                        <w:rPr>
                          <w:lang w:val="fr-BE"/>
                        </w:rPr>
                      </w:pPr>
                    </w:p>
                    <w:p w:rsidR="00294900" w:rsidRPr="00120115" w:rsidRDefault="00294900">
                      <w:pPr>
                        <w:rPr>
                          <w:lang w:val="fr-BE"/>
                        </w:rPr>
                      </w:pPr>
                    </w:p>
                    <w:p w:rsidR="00294900" w:rsidRPr="00120115" w:rsidRDefault="00294900">
                      <w:pPr>
                        <w:rPr>
                          <w:lang w:val="fr-BE"/>
                        </w:rPr>
                      </w:pPr>
                    </w:p>
                    <w:p w:rsidR="00294900" w:rsidRDefault="00294900">
                      <w:pPr>
                        <w:rPr>
                          <w:lang w:val="fr-BE"/>
                        </w:rPr>
                      </w:pPr>
                    </w:p>
                    <w:p w:rsidR="00C432D5" w:rsidRPr="00120115" w:rsidRDefault="00C432D5">
                      <w:pPr>
                        <w:rPr>
                          <w:lang w:val="fr-BE"/>
                        </w:rPr>
                      </w:pPr>
                    </w:p>
                    <w:p w:rsidR="00C432D5" w:rsidRPr="003B57AD" w:rsidRDefault="00C432D5" w:rsidP="00C432D5">
                      <w:pPr>
                        <w:rPr>
                          <w:lang w:val="fr-BE"/>
                        </w:rPr>
                      </w:pPr>
                      <w:r>
                        <w:rPr>
                          <w:lang w:val="fr-FR"/>
                        </w:rPr>
                        <w:t>« </w:t>
                      </w:r>
                      <w:r>
                        <w:rPr>
                          <w:b/>
                          <w:i/>
                          <w:sz w:val="28"/>
                          <w:szCs w:val="28"/>
                          <w:lang w:val="fr-FR"/>
                        </w:rPr>
                        <w:t>Balance commerciale de presque 0,9 milliards d’euros</w:t>
                      </w:r>
                      <w:r>
                        <w:rPr>
                          <w:lang w:val="fr-FR"/>
                        </w:rPr>
                        <w:t> »</w:t>
                      </w:r>
                    </w:p>
                    <w:p w:rsidR="00294900" w:rsidRPr="00120115" w:rsidRDefault="00294900">
                      <w:pPr>
                        <w:rPr>
                          <w:lang w:val="fr-BE"/>
                        </w:rPr>
                      </w:pPr>
                    </w:p>
                    <w:p w:rsidR="00294900" w:rsidRPr="00120115" w:rsidRDefault="00294900">
                      <w:pPr>
                        <w:rPr>
                          <w:lang w:val="fr-BE"/>
                        </w:rPr>
                      </w:pPr>
                    </w:p>
                    <w:p w:rsidR="00294900" w:rsidRPr="00120115" w:rsidRDefault="00294900">
                      <w:pPr>
                        <w:rPr>
                          <w:lang w:val="fr-BE"/>
                        </w:rPr>
                      </w:pPr>
                    </w:p>
                    <w:p w:rsidR="00294900" w:rsidRPr="00120115" w:rsidRDefault="00294900">
                      <w:pPr>
                        <w:rPr>
                          <w:lang w:val="fr-BE"/>
                        </w:rPr>
                      </w:pPr>
                    </w:p>
                    <w:p w:rsidR="00294900" w:rsidRPr="00120115" w:rsidRDefault="00294900">
                      <w:pPr>
                        <w:rPr>
                          <w:lang w:val="fr-BE"/>
                        </w:rPr>
                      </w:pPr>
                    </w:p>
                    <w:p w:rsidR="00294900" w:rsidRPr="00120115" w:rsidRDefault="00294900">
                      <w:pPr>
                        <w:rPr>
                          <w:lang w:val="fr-BE"/>
                        </w:rPr>
                      </w:pPr>
                    </w:p>
                    <w:p w:rsidR="00294900" w:rsidRPr="00120115" w:rsidRDefault="00294900">
                      <w:pPr>
                        <w:rPr>
                          <w:lang w:val="fr-BE"/>
                        </w:rPr>
                      </w:pPr>
                    </w:p>
                    <w:p w:rsidR="00294900" w:rsidRPr="00120115" w:rsidRDefault="00294900">
                      <w:pPr>
                        <w:rPr>
                          <w:lang w:val="fr-BE"/>
                        </w:rPr>
                      </w:pPr>
                    </w:p>
                    <w:p w:rsidR="00294900" w:rsidRPr="00120115" w:rsidRDefault="00294900">
                      <w:pPr>
                        <w:rPr>
                          <w:lang w:val="fr-BE"/>
                        </w:rPr>
                      </w:pPr>
                    </w:p>
                    <w:p w:rsidR="00294900" w:rsidRPr="00120115" w:rsidRDefault="00294900">
                      <w:pPr>
                        <w:rPr>
                          <w:lang w:val="fr-BE"/>
                        </w:rPr>
                      </w:pPr>
                    </w:p>
                    <w:p w:rsidR="00294900" w:rsidRPr="00120115" w:rsidRDefault="00294900">
                      <w:pPr>
                        <w:rPr>
                          <w:lang w:val="fr-BE"/>
                        </w:rPr>
                      </w:pPr>
                    </w:p>
                    <w:p w:rsidR="00294900" w:rsidRPr="00120115" w:rsidRDefault="00294900">
                      <w:pPr>
                        <w:rPr>
                          <w:lang w:val="fr-BE"/>
                        </w:rPr>
                      </w:pPr>
                    </w:p>
                    <w:p w:rsidR="00294900" w:rsidRPr="00120115" w:rsidRDefault="00294900">
                      <w:pPr>
                        <w:rPr>
                          <w:lang w:val="fr-BE"/>
                        </w:rPr>
                      </w:pPr>
                    </w:p>
                    <w:p w:rsidR="00294900" w:rsidRPr="00120115" w:rsidRDefault="00294900">
                      <w:pPr>
                        <w:rPr>
                          <w:lang w:val="fr-BE"/>
                        </w:rPr>
                      </w:pPr>
                    </w:p>
                    <w:p w:rsidR="00294900" w:rsidRPr="00120115" w:rsidRDefault="00294900">
                      <w:pPr>
                        <w:rPr>
                          <w:lang w:val="fr-BE"/>
                        </w:rPr>
                      </w:pPr>
                    </w:p>
                    <w:p w:rsidR="00294900" w:rsidRPr="00120115" w:rsidRDefault="00294900">
                      <w:pPr>
                        <w:rPr>
                          <w:lang w:val="fr-BE"/>
                        </w:rPr>
                      </w:pPr>
                    </w:p>
                    <w:p w:rsidR="00294900" w:rsidRPr="00120115" w:rsidRDefault="00294900">
                      <w:pPr>
                        <w:rPr>
                          <w:lang w:val="fr-BE"/>
                        </w:rPr>
                      </w:pPr>
                    </w:p>
                    <w:p w:rsidR="00294900" w:rsidRPr="00120115" w:rsidRDefault="00294900">
                      <w:pPr>
                        <w:rPr>
                          <w:lang w:val="fr-BE"/>
                        </w:rPr>
                      </w:pPr>
                    </w:p>
                    <w:p w:rsidR="00294900" w:rsidRPr="00120115" w:rsidRDefault="00294900">
                      <w:pPr>
                        <w:rPr>
                          <w:lang w:val="fr-BE"/>
                        </w:rPr>
                      </w:pPr>
                    </w:p>
                    <w:p w:rsidR="00294900" w:rsidRPr="00120115" w:rsidRDefault="00294900">
                      <w:pPr>
                        <w:rPr>
                          <w:lang w:val="fr-BE"/>
                        </w:rPr>
                      </w:pPr>
                    </w:p>
                    <w:p w:rsidR="00294900" w:rsidRPr="00120115" w:rsidRDefault="00294900">
                      <w:pPr>
                        <w:rPr>
                          <w:lang w:val="fr-BE"/>
                        </w:rPr>
                      </w:pPr>
                    </w:p>
                    <w:p w:rsidR="00294900" w:rsidRPr="00120115" w:rsidRDefault="00294900">
                      <w:pPr>
                        <w:rPr>
                          <w:lang w:val="fr-BE"/>
                        </w:rPr>
                      </w:pPr>
                    </w:p>
                  </w:txbxContent>
                </v:textbox>
                <w10:wrap type="square"/>
              </v:shape>
            </w:pict>
          </mc:Fallback>
        </mc:AlternateContent>
      </w:r>
    </w:p>
    <w:p w:rsidR="00294900" w:rsidRPr="00120115" w:rsidRDefault="00294900" w:rsidP="00120115">
      <w:pPr>
        <w:spacing w:after="0"/>
        <w:jc w:val="both"/>
        <w:rPr>
          <w:lang w:val="fr-FR"/>
        </w:rPr>
      </w:pPr>
      <w:r w:rsidRPr="00120115">
        <w:rPr>
          <w:lang w:val="fr-FR"/>
        </w:rPr>
        <w:t>L’industrie al</w:t>
      </w:r>
      <w:r w:rsidR="00B04F5B">
        <w:rPr>
          <w:lang w:val="fr-FR"/>
        </w:rPr>
        <w:t>imentaire reste sans conteste un</w:t>
      </w:r>
      <w:r w:rsidRPr="00120115">
        <w:rPr>
          <w:lang w:val="fr-FR"/>
        </w:rPr>
        <w:t xml:space="preserve"> m</w:t>
      </w:r>
      <w:r>
        <w:rPr>
          <w:lang w:val="fr-FR"/>
        </w:rPr>
        <w:t xml:space="preserve">aillon fort de l’industrie wallonne en 2014. </w:t>
      </w:r>
      <w:r w:rsidRPr="00120115">
        <w:rPr>
          <w:lang w:val="fr-FR"/>
        </w:rPr>
        <w:t>Ce secteur étant relativement insensible aux mouveme</w:t>
      </w:r>
      <w:r>
        <w:rPr>
          <w:lang w:val="fr-FR"/>
        </w:rPr>
        <w:t xml:space="preserve">nts cycliques, il a plutôt bien tenu la barre en 2014, malgré </w:t>
      </w:r>
      <w:r w:rsidRPr="00120115">
        <w:rPr>
          <w:lang w:val="fr-FR"/>
        </w:rPr>
        <w:t xml:space="preserve">la situation économique </w:t>
      </w:r>
      <w:r>
        <w:rPr>
          <w:lang w:val="fr-FR"/>
        </w:rPr>
        <w:t xml:space="preserve">toujours difficile. De ce fait, </w:t>
      </w:r>
      <w:r w:rsidRPr="00120115">
        <w:rPr>
          <w:lang w:val="fr-FR"/>
        </w:rPr>
        <w:t xml:space="preserve">le secteur alimentaire voit augmenter </w:t>
      </w:r>
      <w:r w:rsidR="0076465D">
        <w:rPr>
          <w:lang w:val="fr-FR"/>
        </w:rPr>
        <w:t>depuis quelques années</w:t>
      </w:r>
      <w:r>
        <w:rPr>
          <w:lang w:val="fr-FR"/>
        </w:rPr>
        <w:t xml:space="preserve"> </w:t>
      </w:r>
      <w:r w:rsidRPr="00120115">
        <w:rPr>
          <w:lang w:val="fr-FR"/>
        </w:rPr>
        <w:t>sa p</w:t>
      </w:r>
      <w:r>
        <w:rPr>
          <w:lang w:val="fr-FR"/>
        </w:rPr>
        <w:t xml:space="preserve">art dans l’emploi, les exportations, les </w:t>
      </w:r>
      <w:r w:rsidRPr="00120115">
        <w:rPr>
          <w:lang w:val="fr-FR"/>
        </w:rPr>
        <w:t>investissements et le chiffre d’affaires</w:t>
      </w:r>
      <w:r w:rsidR="0076465D">
        <w:rPr>
          <w:lang w:val="fr-FR"/>
        </w:rPr>
        <w:t xml:space="preserve"> de l’ensemble de l’industrie</w:t>
      </w:r>
      <w:r w:rsidRPr="00120115">
        <w:rPr>
          <w:lang w:val="fr-FR"/>
        </w:rPr>
        <w:t>.</w:t>
      </w:r>
    </w:p>
    <w:p w:rsidR="00294900" w:rsidRDefault="00294900" w:rsidP="00120115">
      <w:pPr>
        <w:spacing w:after="0"/>
        <w:jc w:val="both"/>
        <w:rPr>
          <w:b/>
          <w:lang w:val="fr-FR"/>
        </w:rPr>
      </w:pPr>
    </w:p>
    <w:p w:rsidR="00020AAA" w:rsidRDefault="002C2141" w:rsidP="00120115">
      <w:pPr>
        <w:spacing w:after="0"/>
        <w:jc w:val="both"/>
        <w:rPr>
          <w:lang w:val="fr-FR"/>
        </w:rPr>
      </w:pPr>
      <w:r w:rsidRPr="00AC0E17">
        <w:rPr>
          <w:b/>
          <w:lang w:val="fr-FR"/>
        </w:rPr>
        <w:t>Le chiffre d’affaires de l’industrie alimentaire</w:t>
      </w:r>
      <w:r w:rsidR="00C82BAC" w:rsidRPr="00AC0E17">
        <w:rPr>
          <w:b/>
          <w:lang w:val="fr-FR"/>
        </w:rPr>
        <w:t xml:space="preserve"> wallonne</w:t>
      </w:r>
      <w:r w:rsidRPr="00AC0E17">
        <w:rPr>
          <w:b/>
          <w:lang w:val="fr-FR"/>
        </w:rPr>
        <w:t xml:space="preserve"> s’élevait à</w:t>
      </w:r>
      <w:r w:rsidR="00C62C6D">
        <w:rPr>
          <w:b/>
          <w:lang w:val="fr-FR"/>
        </w:rPr>
        <w:t xml:space="preserve"> 8,2</w:t>
      </w:r>
      <w:r w:rsidRPr="00AC0E17">
        <w:rPr>
          <w:b/>
          <w:lang w:val="fr-FR"/>
        </w:rPr>
        <w:t xml:space="preserve"> milliards d’euros</w:t>
      </w:r>
      <w:r w:rsidR="0024719E" w:rsidRPr="00AC0E17">
        <w:rPr>
          <w:b/>
          <w:lang w:val="fr-FR"/>
        </w:rPr>
        <w:t xml:space="preserve"> e</w:t>
      </w:r>
      <w:r w:rsidR="008F542B" w:rsidRPr="00AC0E17">
        <w:rPr>
          <w:b/>
          <w:lang w:val="fr-FR"/>
        </w:rPr>
        <w:t>n</w:t>
      </w:r>
      <w:r w:rsidR="00B155DA" w:rsidRPr="00AC0E17">
        <w:rPr>
          <w:b/>
          <w:lang w:val="fr-FR"/>
        </w:rPr>
        <w:t xml:space="preserve"> 201</w:t>
      </w:r>
      <w:r w:rsidR="00C62C6D">
        <w:rPr>
          <w:b/>
          <w:lang w:val="fr-FR"/>
        </w:rPr>
        <w:t>4,</w:t>
      </w:r>
      <w:r w:rsidR="00C62C6D" w:rsidRPr="00AB562A">
        <w:rPr>
          <w:lang w:val="fr-BE"/>
        </w:rPr>
        <w:t xml:space="preserve"> ce qui représente une forte augmentation</w:t>
      </w:r>
      <w:r w:rsidR="00C62C6D">
        <w:rPr>
          <w:lang w:val="fr-BE"/>
        </w:rPr>
        <w:t xml:space="preserve"> de 10,6% </w:t>
      </w:r>
      <w:r w:rsidR="0024719E">
        <w:rPr>
          <w:lang w:val="fr-FR"/>
        </w:rPr>
        <w:t>par rapport à 201</w:t>
      </w:r>
      <w:r w:rsidR="00C62C6D">
        <w:rPr>
          <w:lang w:val="fr-FR"/>
        </w:rPr>
        <w:t>3. L</w:t>
      </w:r>
      <w:r w:rsidR="00B155DA" w:rsidRPr="00B155DA">
        <w:rPr>
          <w:lang w:val="fr-FR"/>
        </w:rPr>
        <w:t>a croissance de l’industrie alimentaire en 201</w:t>
      </w:r>
      <w:r w:rsidR="0076465D">
        <w:rPr>
          <w:lang w:val="fr-FR"/>
        </w:rPr>
        <w:t>4</w:t>
      </w:r>
      <w:r w:rsidR="00B155DA" w:rsidRPr="00B155DA">
        <w:rPr>
          <w:lang w:val="fr-FR"/>
        </w:rPr>
        <w:t xml:space="preserve"> est nettement plus forte que </w:t>
      </w:r>
      <w:r w:rsidR="00AA2FF7">
        <w:rPr>
          <w:lang w:val="fr-FR"/>
        </w:rPr>
        <w:t xml:space="preserve">dans </w:t>
      </w:r>
      <w:r w:rsidR="00B155DA" w:rsidRPr="00B155DA">
        <w:rPr>
          <w:lang w:val="fr-FR"/>
        </w:rPr>
        <w:t>les autres secteurs industriels en Wallonie (</w:t>
      </w:r>
      <w:r w:rsidR="00C62C6D">
        <w:rPr>
          <w:lang w:val="fr-FR"/>
        </w:rPr>
        <w:t xml:space="preserve">+6,1% </w:t>
      </w:r>
      <w:r w:rsidR="00AA2FF7">
        <w:rPr>
          <w:lang w:val="fr-FR"/>
        </w:rPr>
        <w:t>en moyenne</w:t>
      </w:r>
      <w:r w:rsidR="00B155DA" w:rsidRPr="00B155DA">
        <w:rPr>
          <w:lang w:val="fr-FR"/>
        </w:rPr>
        <w:t xml:space="preserve">). </w:t>
      </w:r>
      <w:r w:rsidR="0024719E">
        <w:rPr>
          <w:lang w:val="fr-FR"/>
        </w:rPr>
        <w:t xml:space="preserve">Sur </w:t>
      </w:r>
      <w:r w:rsidR="00B155DA" w:rsidRPr="00B155DA">
        <w:rPr>
          <w:lang w:val="fr-FR"/>
        </w:rPr>
        <w:t>la période 2008-201</w:t>
      </w:r>
      <w:r w:rsidR="00C62C6D">
        <w:rPr>
          <w:lang w:val="fr-FR"/>
        </w:rPr>
        <w:t>4</w:t>
      </w:r>
      <w:r w:rsidR="00B155DA" w:rsidRPr="00B155DA">
        <w:rPr>
          <w:lang w:val="fr-FR"/>
        </w:rPr>
        <w:t>, la croissance du chiffre d’affaires s’</w:t>
      </w:r>
      <w:r w:rsidR="0024719E">
        <w:rPr>
          <w:lang w:val="fr-FR"/>
        </w:rPr>
        <w:t xml:space="preserve">est </w:t>
      </w:r>
      <w:r w:rsidR="00B155DA" w:rsidRPr="00B155DA">
        <w:rPr>
          <w:lang w:val="fr-FR"/>
        </w:rPr>
        <w:t>él</w:t>
      </w:r>
      <w:r w:rsidR="0024719E">
        <w:rPr>
          <w:lang w:val="fr-FR"/>
        </w:rPr>
        <w:t>evée</w:t>
      </w:r>
      <w:r w:rsidR="00B155DA" w:rsidRPr="00B155DA">
        <w:rPr>
          <w:lang w:val="fr-FR"/>
        </w:rPr>
        <w:t xml:space="preserve"> à </w:t>
      </w:r>
      <w:r w:rsidR="00C62C6D">
        <w:rPr>
          <w:lang w:val="fr-FR"/>
        </w:rPr>
        <w:t>23,3</w:t>
      </w:r>
      <w:r w:rsidR="00B155DA" w:rsidRPr="00B155DA">
        <w:rPr>
          <w:lang w:val="fr-FR"/>
        </w:rPr>
        <w:t xml:space="preserve">% dans l’industrie alimentaire </w:t>
      </w:r>
      <w:r w:rsidR="0024719E">
        <w:rPr>
          <w:lang w:val="fr-FR"/>
        </w:rPr>
        <w:t xml:space="preserve">alors que celle-ci a diminué de </w:t>
      </w:r>
      <w:r w:rsidR="0076465D">
        <w:rPr>
          <w:lang w:val="fr-FR"/>
        </w:rPr>
        <w:t>7,6</w:t>
      </w:r>
      <w:r w:rsidR="00B155DA" w:rsidRPr="00B155DA">
        <w:rPr>
          <w:lang w:val="fr-FR"/>
        </w:rPr>
        <w:t xml:space="preserve">% </w:t>
      </w:r>
      <w:r w:rsidR="0024719E">
        <w:rPr>
          <w:lang w:val="fr-FR"/>
        </w:rPr>
        <w:t xml:space="preserve">pour l’ensemble </w:t>
      </w:r>
      <w:r w:rsidR="00B155DA" w:rsidRPr="00B155DA">
        <w:rPr>
          <w:lang w:val="fr-FR"/>
        </w:rPr>
        <w:t xml:space="preserve">de l’industrie manufacturière. </w:t>
      </w:r>
      <w:r w:rsidR="0024719E">
        <w:rPr>
          <w:lang w:val="fr-FR"/>
        </w:rPr>
        <w:t xml:space="preserve">Le </w:t>
      </w:r>
      <w:r w:rsidR="00F56538">
        <w:rPr>
          <w:lang w:val="fr-FR"/>
        </w:rPr>
        <w:t xml:space="preserve">chiffre d’affaires de l’industrie alimentaire wallonne </w:t>
      </w:r>
      <w:r w:rsidR="0024719E">
        <w:rPr>
          <w:lang w:val="fr-FR"/>
        </w:rPr>
        <w:t xml:space="preserve">a aussi </w:t>
      </w:r>
      <w:r w:rsidR="00F56538">
        <w:rPr>
          <w:lang w:val="fr-FR"/>
        </w:rPr>
        <w:t>augment</w:t>
      </w:r>
      <w:r w:rsidR="0024719E">
        <w:rPr>
          <w:lang w:val="fr-FR"/>
        </w:rPr>
        <w:t>é</w:t>
      </w:r>
      <w:r w:rsidR="00B9791A">
        <w:rPr>
          <w:lang w:val="fr-FR"/>
        </w:rPr>
        <w:t xml:space="preserve"> </w:t>
      </w:r>
      <w:r w:rsidR="00F56538">
        <w:rPr>
          <w:lang w:val="fr-FR"/>
        </w:rPr>
        <w:t>plus vite que dans les pays voisins</w:t>
      </w:r>
      <w:r w:rsidR="0024719E">
        <w:rPr>
          <w:lang w:val="fr-FR"/>
        </w:rPr>
        <w:t>, sur cette même période.</w:t>
      </w:r>
    </w:p>
    <w:p w:rsidR="001A357D" w:rsidRPr="00B155DA" w:rsidRDefault="001A357D" w:rsidP="00120115">
      <w:pPr>
        <w:spacing w:after="0"/>
        <w:jc w:val="both"/>
        <w:rPr>
          <w:lang w:val="fr-FR"/>
        </w:rPr>
      </w:pPr>
    </w:p>
    <w:p w:rsidR="00B155DA" w:rsidRDefault="002C2141" w:rsidP="00120115">
      <w:pPr>
        <w:spacing w:after="0"/>
        <w:jc w:val="both"/>
        <w:rPr>
          <w:lang w:val="fr-BE"/>
        </w:rPr>
      </w:pPr>
      <w:r w:rsidRPr="00AB562A">
        <w:rPr>
          <w:b/>
          <w:lang w:val="fr-BE"/>
        </w:rPr>
        <w:t>En 201</w:t>
      </w:r>
      <w:r w:rsidR="00C62C6D">
        <w:rPr>
          <w:b/>
          <w:lang w:val="fr-BE"/>
        </w:rPr>
        <w:t>4</w:t>
      </w:r>
      <w:r w:rsidRPr="00AB562A">
        <w:rPr>
          <w:b/>
          <w:lang w:val="fr-BE"/>
        </w:rPr>
        <w:t xml:space="preserve">, l’industrie alimentaire wallonne </w:t>
      </w:r>
      <w:r w:rsidR="009E0F18" w:rsidRPr="00AB562A">
        <w:rPr>
          <w:b/>
          <w:lang w:val="fr-BE"/>
        </w:rPr>
        <w:t>employait</w:t>
      </w:r>
      <w:r w:rsidRPr="00AB562A">
        <w:rPr>
          <w:b/>
          <w:lang w:val="fr-BE"/>
        </w:rPr>
        <w:t xml:space="preserve"> un total de 2</w:t>
      </w:r>
      <w:r w:rsidR="00F56538" w:rsidRPr="00AB562A">
        <w:rPr>
          <w:b/>
          <w:lang w:val="fr-BE"/>
        </w:rPr>
        <w:t>0.</w:t>
      </w:r>
      <w:r w:rsidR="00C62C6D">
        <w:rPr>
          <w:b/>
          <w:lang w:val="fr-BE"/>
        </w:rPr>
        <w:t>697</w:t>
      </w:r>
      <w:r w:rsidRPr="00AB562A">
        <w:rPr>
          <w:b/>
          <w:lang w:val="fr-BE"/>
        </w:rPr>
        <w:t xml:space="preserve"> salariés</w:t>
      </w:r>
      <w:r w:rsidRPr="00AB562A">
        <w:rPr>
          <w:lang w:val="fr-BE"/>
        </w:rPr>
        <w:t xml:space="preserve">. Cela représente une </w:t>
      </w:r>
      <w:r w:rsidR="00F56538" w:rsidRPr="00AB562A">
        <w:rPr>
          <w:lang w:val="fr-BE"/>
        </w:rPr>
        <w:t>diminution de 0,</w:t>
      </w:r>
      <w:r w:rsidR="00C62C6D">
        <w:rPr>
          <w:lang w:val="fr-BE"/>
        </w:rPr>
        <w:t>1</w:t>
      </w:r>
      <w:r w:rsidRPr="00AB562A">
        <w:rPr>
          <w:lang w:val="fr-BE"/>
        </w:rPr>
        <w:t>% par rapport à 201</w:t>
      </w:r>
      <w:r w:rsidR="00C62C6D">
        <w:rPr>
          <w:lang w:val="fr-BE"/>
        </w:rPr>
        <w:t>3</w:t>
      </w:r>
      <w:r w:rsidRPr="00AB562A">
        <w:rPr>
          <w:lang w:val="fr-BE"/>
        </w:rPr>
        <w:t xml:space="preserve">. </w:t>
      </w:r>
      <w:r w:rsidR="00F56538" w:rsidRPr="00AB562A">
        <w:rPr>
          <w:lang w:val="fr-BE"/>
        </w:rPr>
        <w:t xml:space="preserve">Néanmoins, </w:t>
      </w:r>
      <w:r w:rsidR="0024719E" w:rsidRPr="00AB562A">
        <w:rPr>
          <w:lang w:val="fr-BE"/>
        </w:rPr>
        <w:t xml:space="preserve">sur </w:t>
      </w:r>
      <w:r w:rsidRPr="00AB562A">
        <w:rPr>
          <w:lang w:val="fr-BE"/>
        </w:rPr>
        <w:t>la période 2008-201</w:t>
      </w:r>
      <w:r w:rsidR="00C62C6D">
        <w:rPr>
          <w:lang w:val="fr-BE"/>
        </w:rPr>
        <w:t>4</w:t>
      </w:r>
      <w:r w:rsidRPr="00AB562A">
        <w:rPr>
          <w:lang w:val="fr-BE"/>
        </w:rPr>
        <w:t>, l’emploi dans l’industrie alimentaire</w:t>
      </w:r>
      <w:r w:rsidR="00F56538" w:rsidRPr="00AB562A">
        <w:rPr>
          <w:lang w:val="fr-BE"/>
        </w:rPr>
        <w:t xml:space="preserve"> </w:t>
      </w:r>
      <w:r w:rsidR="0024719E" w:rsidRPr="00AB562A">
        <w:rPr>
          <w:lang w:val="fr-BE"/>
        </w:rPr>
        <w:t>a</w:t>
      </w:r>
      <w:r w:rsidR="00F56538" w:rsidRPr="00AB562A">
        <w:rPr>
          <w:lang w:val="fr-BE"/>
        </w:rPr>
        <w:t xml:space="preserve"> augmenté </w:t>
      </w:r>
      <w:r w:rsidR="0024719E" w:rsidRPr="00AB562A">
        <w:rPr>
          <w:lang w:val="fr-BE"/>
        </w:rPr>
        <w:t xml:space="preserve">de </w:t>
      </w:r>
      <w:r w:rsidR="00C62C6D">
        <w:rPr>
          <w:lang w:val="fr-BE"/>
        </w:rPr>
        <w:t>0,8</w:t>
      </w:r>
      <w:r w:rsidRPr="00AB562A">
        <w:rPr>
          <w:lang w:val="fr-BE"/>
        </w:rPr>
        <w:t>%. L’emploi dans l’industrie man</w:t>
      </w:r>
      <w:r w:rsidR="00F56538" w:rsidRPr="00AB562A">
        <w:rPr>
          <w:lang w:val="fr-BE"/>
        </w:rPr>
        <w:t xml:space="preserve">ufacturière a </w:t>
      </w:r>
      <w:r w:rsidR="001321BC" w:rsidRPr="00AB562A">
        <w:rPr>
          <w:lang w:val="fr-BE"/>
        </w:rPr>
        <w:t xml:space="preserve">quant à </w:t>
      </w:r>
      <w:r w:rsidR="006D6AB1" w:rsidRPr="00AB562A">
        <w:rPr>
          <w:lang w:val="fr-BE"/>
        </w:rPr>
        <w:t>lui</w:t>
      </w:r>
      <w:r w:rsidR="0024719E" w:rsidRPr="00AB562A">
        <w:rPr>
          <w:lang w:val="fr-BE"/>
        </w:rPr>
        <w:t xml:space="preserve"> </w:t>
      </w:r>
      <w:r w:rsidR="00F56538" w:rsidRPr="00AB562A">
        <w:rPr>
          <w:lang w:val="fr-BE"/>
        </w:rPr>
        <w:t xml:space="preserve">chuté </w:t>
      </w:r>
      <w:r w:rsidR="0024719E" w:rsidRPr="00AB562A">
        <w:rPr>
          <w:lang w:val="fr-BE"/>
        </w:rPr>
        <w:t xml:space="preserve">de </w:t>
      </w:r>
      <w:r w:rsidR="00C62C6D">
        <w:rPr>
          <w:lang w:val="fr-BE"/>
        </w:rPr>
        <w:t>2,5</w:t>
      </w:r>
      <w:r w:rsidR="00C62C6D" w:rsidRPr="00AB562A" w:rsidDel="00C62C6D">
        <w:rPr>
          <w:lang w:val="fr-BE"/>
        </w:rPr>
        <w:t xml:space="preserve"> </w:t>
      </w:r>
      <w:r w:rsidR="00522DA4" w:rsidRPr="00AB562A">
        <w:rPr>
          <w:lang w:val="fr-BE"/>
        </w:rPr>
        <w:t>% en 201</w:t>
      </w:r>
      <w:r w:rsidR="00C62C6D">
        <w:rPr>
          <w:lang w:val="fr-BE"/>
        </w:rPr>
        <w:t>4</w:t>
      </w:r>
      <w:r w:rsidR="00522DA4" w:rsidRPr="00AB562A">
        <w:rPr>
          <w:lang w:val="fr-BE"/>
        </w:rPr>
        <w:t xml:space="preserve"> et </w:t>
      </w:r>
      <w:r w:rsidR="0024719E" w:rsidRPr="00AB562A">
        <w:rPr>
          <w:lang w:val="fr-BE"/>
        </w:rPr>
        <w:t>de</w:t>
      </w:r>
      <w:r w:rsidR="00C62C6D">
        <w:rPr>
          <w:lang w:val="fr-BE"/>
        </w:rPr>
        <w:t xml:space="preserve"> </w:t>
      </w:r>
      <w:r w:rsidRPr="00AB562A">
        <w:rPr>
          <w:lang w:val="fr-BE"/>
        </w:rPr>
        <w:t>1</w:t>
      </w:r>
      <w:r w:rsidR="00C62C6D">
        <w:rPr>
          <w:lang w:val="fr-BE"/>
        </w:rPr>
        <w:t>1</w:t>
      </w:r>
      <w:r w:rsidRPr="00AB562A">
        <w:rPr>
          <w:lang w:val="fr-BE"/>
        </w:rPr>
        <w:t xml:space="preserve">% </w:t>
      </w:r>
      <w:r w:rsidR="006D6AB1" w:rsidRPr="00AB562A">
        <w:rPr>
          <w:lang w:val="fr-BE"/>
        </w:rPr>
        <w:t>sur</w:t>
      </w:r>
      <w:r w:rsidRPr="00AB562A">
        <w:rPr>
          <w:lang w:val="fr-BE"/>
        </w:rPr>
        <w:t xml:space="preserve"> la période 2008-201</w:t>
      </w:r>
      <w:r w:rsidR="00C62C6D">
        <w:rPr>
          <w:lang w:val="fr-BE"/>
        </w:rPr>
        <w:t>4</w:t>
      </w:r>
      <w:r w:rsidRPr="00AB562A">
        <w:rPr>
          <w:lang w:val="fr-BE"/>
        </w:rPr>
        <w:t>.</w:t>
      </w:r>
      <w:r w:rsidR="00557D75" w:rsidRPr="00AB562A">
        <w:rPr>
          <w:lang w:val="fr-BE"/>
        </w:rPr>
        <w:t xml:space="preserve"> L’industrie alimentaire </w:t>
      </w:r>
      <w:r w:rsidR="001321BC" w:rsidRPr="00AB562A">
        <w:rPr>
          <w:lang w:val="fr-BE"/>
        </w:rPr>
        <w:t>wallonne</w:t>
      </w:r>
      <w:r w:rsidR="00557D75" w:rsidRPr="00AB562A">
        <w:rPr>
          <w:lang w:val="fr-BE"/>
        </w:rPr>
        <w:t xml:space="preserve"> </w:t>
      </w:r>
      <w:r w:rsidR="009E0F18" w:rsidRPr="00AB562A">
        <w:rPr>
          <w:lang w:val="fr-BE"/>
        </w:rPr>
        <w:t xml:space="preserve">emploie </w:t>
      </w:r>
      <w:r w:rsidR="00557D75" w:rsidRPr="00AB562A">
        <w:rPr>
          <w:lang w:val="fr-BE"/>
        </w:rPr>
        <w:t>en outre encore près de 32.</w:t>
      </w:r>
      <w:r w:rsidR="00C62C6D">
        <w:rPr>
          <w:lang w:val="fr-BE"/>
        </w:rPr>
        <w:t>080</w:t>
      </w:r>
      <w:r w:rsidR="00557D75" w:rsidRPr="00AB562A">
        <w:rPr>
          <w:lang w:val="fr-BE"/>
        </w:rPr>
        <w:t xml:space="preserve"> travailleurs indirects, ce qui porte le nombre d’emplois liés à ce secteur à plus de 52.</w:t>
      </w:r>
      <w:r w:rsidR="00C62C6D">
        <w:rPr>
          <w:lang w:val="fr-BE"/>
        </w:rPr>
        <w:t>777</w:t>
      </w:r>
      <w:r w:rsidR="00557D75" w:rsidRPr="00AB562A">
        <w:rPr>
          <w:lang w:val="fr-BE"/>
        </w:rPr>
        <w:t xml:space="preserve"> emplois au total. La part de l’industrie alimentaire </w:t>
      </w:r>
      <w:r w:rsidR="001321BC" w:rsidRPr="00AB562A">
        <w:rPr>
          <w:lang w:val="fr-BE"/>
        </w:rPr>
        <w:t>wallonne</w:t>
      </w:r>
      <w:r w:rsidR="00557D75" w:rsidRPr="00AB562A">
        <w:rPr>
          <w:lang w:val="fr-BE"/>
        </w:rPr>
        <w:t xml:space="preserve"> dans l’emploi industriel total </w:t>
      </w:r>
      <w:r w:rsidR="001321BC" w:rsidRPr="00AB562A">
        <w:rPr>
          <w:lang w:val="fr-BE"/>
        </w:rPr>
        <w:t>s’élève à</w:t>
      </w:r>
      <w:r w:rsidR="00557D75" w:rsidRPr="00AB562A">
        <w:rPr>
          <w:lang w:val="fr-BE"/>
        </w:rPr>
        <w:t xml:space="preserve"> 16,</w:t>
      </w:r>
      <w:r w:rsidR="001A357D">
        <w:rPr>
          <w:lang w:val="fr-BE"/>
        </w:rPr>
        <w:t>9</w:t>
      </w:r>
      <w:r w:rsidR="00557D75" w:rsidRPr="00AB562A">
        <w:rPr>
          <w:lang w:val="fr-BE"/>
        </w:rPr>
        <w:t>% en 201</w:t>
      </w:r>
      <w:r w:rsidR="001A357D">
        <w:rPr>
          <w:lang w:val="fr-BE"/>
        </w:rPr>
        <w:t>4</w:t>
      </w:r>
      <w:r w:rsidR="00557D75" w:rsidRPr="00AB562A">
        <w:rPr>
          <w:lang w:val="fr-BE"/>
        </w:rPr>
        <w:t>, alors qu’en 200</w:t>
      </w:r>
      <w:r w:rsidR="001A357D">
        <w:rPr>
          <w:lang w:val="fr-BE"/>
        </w:rPr>
        <w:t>8</w:t>
      </w:r>
      <w:r w:rsidR="00557D75" w:rsidRPr="00AB562A">
        <w:rPr>
          <w:lang w:val="fr-BE"/>
        </w:rPr>
        <w:t xml:space="preserve">, elle n’était encore qu’à </w:t>
      </w:r>
      <w:r w:rsidR="001A357D">
        <w:rPr>
          <w:lang w:val="fr-BE"/>
        </w:rPr>
        <w:t>14,9</w:t>
      </w:r>
      <w:r w:rsidR="00557D75" w:rsidRPr="00AB562A">
        <w:rPr>
          <w:lang w:val="fr-BE"/>
        </w:rPr>
        <w:t>%.</w:t>
      </w:r>
      <w:r w:rsidR="00B155DA" w:rsidRPr="00AB562A">
        <w:rPr>
          <w:lang w:val="fr-BE"/>
        </w:rPr>
        <w:t xml:space="preserve"> </w:t>
      </w:r>
    </w:p>
    <w:p w:rsidR="00294900" w:rsidRDefault="00294900" w:rsidP="00120115">
      <w:pPr>
        <w:spacing w:after="0"/>
        <w:jc w:val="both"/>
        <w:rPr>
          <w:lang w:val="fr-BE"/>
        </w:rPr>
      </w:pPr>
    </w:p>
    <w:p w:rsidR="00294900" w:rsidRDefault="00294900" w:rsidP="00120115">
      <w:pPr>
        <w:spacing w:after="0"/>
        <w:jc w:val="both"/>
        <w:rPr>
          <w:lang w:val="fr-BE"/>
        </w:rPr>
      </w:pPr>
      <w:r w:rsidRPr="00120115">
        <w:rPr>
          <w:b/>
          <w:lang w:val="fr-BE"/>
        </w:rPr>
        <w:t>L’industrie alimentaire wallonne est un véritable secteur de PME.</w:t>
      </w:r>
      <w:r w:rsidRPr="00294900">
        <w:rPr>
          <w:lang w:val="fr-FR"/>
        </w:rPr>
        <w:t xml:space="preserve"> </w:t>
      </w:r>
      <w:r>
        <w:rPr>
          <w:lang w:val="fr-FR"/>
        </w:rPr>
        <w:t>En 2013, presque 60% des entreprises de l’industrie alimentaires wallonnes occupaient</w:t>
      </w:r>
      <w:r w:rsidRPr="00A96010">
        <w:rPr>
          <w:lang w:val="fr-FR"/>
        </w:rPr>
        <w:t xml:space="preserve"> moins de 5</w:t>
      </w:r>
      <w:r>
        <w:rPr>
          <w:lang w:val="fr-FR"/>
        </w:rPr>
        <w:t xml:space="preserve"> travailleurs. </w:t>
      </w:r>
      <w:r w:rsidRPr="00FC52CD">
        <w:rPr>
          <w:lang w:val="fr-FR"/>
        </w:rPr>
        <w:t>S</w:t>
      </w:r>
      <w:r>
        <w:rPr>
          <w:lang w:val="fr-FR"/>
        </w:rPr>
        <w:t>eules 13 entreprises occupaient</w:t>
      </w:r>
      <w:r w:rsidRPr="00FC52CD">
        <w:rPr>
          <w:lang w:val="fr-FR"/>
        </w:rPr>
        <w:t xml:space="preserve"> plus de 250</w:t>
      </w:r>
      <w:r>
        <w:rPr>
          <w:lang w:val="fr-FR"/>
        </w:rPr>
        <w:t xml:space="preserve"> travailleurs</w:t>
      </w:r>
      <w:r w:rsidRPr="00FC52CD">
        <w:rPr>
          <w:lang w:val="fr-FR"/>
        </w:rPr>
        <w:t>.</w:t>
      </w:r>
      <w:r>
        <w:rPr>
          <w:lang w:val="fr-FR"/>
        </w:rPr>
        <w:t xml:space="preserve"> </w:t>
      </w:r>
      <w:r w:rsidRPr="00A96010">
        <w:rPr>
          <w:lang w:val="fr-FR"/>
        </w:rPr>
        <w:t>La grande majorité des très petites entreprises (&lt;5</w:t>
      </w:r>
      <w:r>
        <w:rPr>
          <w:lang w:val="fr-FR"/>
        </w:rPr>
        <w:t xml:space="preserve"> travailleurs</w:t>
      </w:r>
      <w:r w:rsidRPr="00A96010">
        <w:rPr>
          <w:lang w:val="fr-FR"/>
        </w:rPr>
        <w:t>) sont des boulangeries artisanales.</w:t>
      </w:r>
      <w:r w:rsidRPr="00294900">
        <w:rPr>
          <w:lang w:val="fr-BE"/>
        </w:rPr>
        <w:t xml:space="preserve"> </w:t>
      </w:r>
    </w:p>
    <w:p w:rsidR="001A357D" w:rsidRDefault="001A357D" w:rsidP="00120115">
      <w:pPr>
        <w:spacing w:after="0"/>
        <w:jc w:val="both"/>
        <w:rPr>
          <w:lang w:val="fr-BE"/>
        </w:rPr>
      </w:pPr>
    </w:p>
    <w:p w:rsidR="00294900" w:rsidRPr="00294900" w:rsidRDefault="00294900" w:rsidP="00294900">
      <w:pPr>
        <w:spacing w:after="0"/>
        <w:jc w:val="both"/>
        <w:rPr>
          <w:lang w:val="fr-BE"/>
        </w:rPr>
      </w:pPr>
      <w:r w:rsidRPr="00120115">
        <w:rPr>
          <w:b/>
          <w:lang w:val="fr-BE"/>
        </w:rPr>
        <w:t>En 2014, les exportations de l’industrie alimentaire wallonne ont été estimées à 4,2 milliards d’euros.</w:t>
      </w:r>
      <w:r w:rsidRPr="00294900">
        <w:rPr>
          <w:lang w:val="fr-BE"/>
        </w:rPr>
        <w:t xml:space="preserve"> Pour la même année, les importations ont représenté une valeur de 3,3 milliards d’euros, ce qui correspond à un excédent de la balance commerciale de </w:t>
      </w:r>
      <w:r w:rsidRPr="00294900">
        <w:rPr>
          <w:lang w:val="fr-BE"/>
        </w:rPr>
        <w:lastRenderedPageBreak/>
        <w:t xml:space="preserve">presque </w:t>
      </w:r>
      <w:r w:rsidR="00C432D5" w:rsidRPr="00294900">
        <w:rPr>
          <w:b/>
          <w:noProof/>
          <w:lang w:eastAsia="nl-BE"/>
        </w:rPr>
        <mc:AlternateContent>
          <mc:Choice Requires="wps">
            <w:drawing>
              <wp:anchor distT="45720" distB="45720" distL="114300" distR="114300" simplePos="0" relativeHeight="251661312" behindDoc="0" locked="0" layoutInCell="1" allowOverlap="1" wp14:anchorId="632CD2AC" wp14:editId="499AFC75">
                <wp:simplePos x="0" y="0"/>
                <wp:positionH relativeFrom="column">
                  <wp:posOffset>3938905</wp:posOffset>
                </wp:positionH>
                <wp:positionV relativeFrom="paragraph">
                  <wp:posOffset>33655</wp:posOffset>
                </wp:positionV>
                <wp:extent cx="1947545" cy="854392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8543925"/>
                        </a:xfrm>
                        <a:prstGeom prst="rect">
                          <a:avLst/>
                        </a:prstGeom>
                        <a:solidFill>
                          <a:srgbClr val="FFFFFF"/>
                        </a:solidFill>
                        <a:ln w="9525">
                          <a:noFill/>
                          <a:miter lim="800000"/>
                          <a:headEnd/>
                          <a:tailEnd/>
                        </a:ln>
                      </wps:spPr>
                      <wps:txbx>
                        <w:txbxContent>
                          <w:p w:rsidR="00C432D5" w:rsidRDefault="00C432D5" w:rsidP="00294900">
                            <w:pPr>
                              <w:rPr>
                                <w:lang w:val="fr-FR"/>
                              </w:rPr>
                            </w:pPr>
                          </w:p>
                          <w:p w:rsidR="00294900" w:rsidRPr="00120115" w:rsidRDefault="00C432D5" w:rsidP="00294900">
                            <w:pPr>
                              <w:rPr>
                                <w:lang w:val="fr-BE"/>
                              </w:rPr>
                            </w:pPr>
                            <w:r>
                              <w:rPr>
                                <w:lang w:val="fr-FR"/>
                              </w:rPr>
                              <w:t>« </w:t>
                            </w:r>
                            <w:r>
                              <w:rPr>
                                <w:b/>
                                <w:i/>
                                <w:sz w:val="28"/>
                                <w:szCs w:val="28"/>
                                <w:lang w:val="fr-FR"/>
                              </w:rPr>
                              <w:t>Exportations en dehors de l’EU-15</w:t>
                            </w:r>
                            <w:r w:rsidR="00624AD1">
                              <w:rPr>
                                <w:b/>
                                <w:i/>
                                <w:sz w:val="28"/>
                                <w:szCs w:val="28"/>
                                <w:lang w:val="fr-FR"/>
                              </w:rPr>
                              <w:t> : forte augmentation</w:t>
                            </w:r>
                            <w:r>
                              <w:rPr>
                                <w:lang w:val="fr-FR"/>
                              </w:rPr>
                              <w:t> »</w:t>
                            </w:r>
                          </w:p>
                          <w:p w:rsidR="00294900" w:rsidRPr="00120115" w:rsidRDefault="00294900" w:rsidP="00294900">
                            <w:pPr>
                              <w:rPr>
                                <w:lang w:val="fr-BE"/>
                              </w:rPr>
                            </w:pPr>
                          </w:p>
                          <w:p w:rsidR="00294900" w:rsidRPr="00120115" w:rsidRDefault="00294900" w:rsidP="00294900">
                            <w:pPr>
                              <w:rPr>
                                <w:lang w:val="fr-BE"/>
                              </w:rPr>
                            </w:pPr>
                          </w:p>
                          <w:p w:rsidR="00294900" w:rsidRDefault="00294900" w:rsidP="00294900">
                            <w:pPr>
                              <w:rPr>
                                <w:lang w:val="fr-BE"/>
                              </w:rPr>
                            </w:pPr>
                          </w:p>
                          <w:p w:rsidR="00C432D5" w:rsidRDefault="00C432D5" w:rsidP="00294900">
                            <w:pPr>
                              <w:rPr>
                                <w:lang w:val="fr-BE"/>
                              </w:rPr>
                            </w:pPr>
                          </w:p>
                          <w:p w:rsidR="00C432D5" w:rsidRDefault="00C432D5" w:rsidP="00294900">
                            <w:pPr>
                              <w:rPr>
                                <w:lang w:val="fr-BE"/>
                              </w:rPr>
                            </w:pPr>
                          </w:p>
                          <w:p w:rsidR="00C432D5" w:rsidRDefault="00C432D5" w:rsidP="00294900">
                            <w:pPr>
                              <w:rPr>
                                <w:lang w:val="fr-BE"/>
                              </w:rPr>
                            </w:pPr>
                          </w:p>
                          <w:p w:rsidR="00C432D5" w:rsidRDefault="00C432D5" w:rsidP="00294900">
                            <w:pPr>
                              <w:rPr>
                                <w:lang w:val="fr-BE"/>
                              </w:rPr>
                            </w:pPr>
                          </w:p>
                          <w:p w:rsidR="00624AD1" w:rsidRPr="00120115" w:rsidRDefault="00624AD1" w:rsidP="00294900">
                            <w:pPr>
                              <w:rPr>
                                <w:lang w:val="fr-BE"/>
                              </w:rPr>
                            </w:pPr>
                          </w:p>
                          <w:p w:rsidR="00C432D5" w:rsidRPr="003B57AD" w:rsidRDefault="00C432D5" w:rsidP="00C432D5">
                            <w:pPr>
                              <w:rPr>
                                <w:lang w:val="fr-BE"/>
                              </w:rPr>
                            </w:pPr>
                            <w:r>
                              <w:rPr>
                                <w:lang w:val="fr-FR"/>
                              </w:rPr>
                              <w:t>« </w:t>
                            </w:r>
                            <w:r>
                              <w:rPr>
                                <w:b/>
                                <w:i/>
                                <w:sz w:val="28"/>
                                <w:szCs w:val="28"/>
                                <w:lang w:val="fr-FR"/>
                              </w:rPr>
                              <w:t>Compétitivité</w:t>
                            </w:r>
                            <w:r w:rsidR="00624AD1">
                              <w:rPr>
                                <w:b/>
                                <w:i/>
                                <w:sz w:val="28"/>
                                <w:szCs w:val="28"/>
                                <w:lang w:val="fr-FR"/>
                              </w:rPr>
                              <w:t xml:space="preserve"> et marges</w:t>
                            </w:r>
                            <w:r>
                              <w:rPr>
                                <w:b/>
                                <w:i/>
                                <w:sz w:val="28"/>
                                <w:szCs w:val="28"/>
                                <w:lang w:val="fr-FR"/>
                              </w:rPr>
                              <w:t xml:space="preserve"> sous pression</w:t>
                            </w:r>
                            <w:r>
                              <w:rPr>
                                <w:lang w:val="fr-FR"/>
                              </w:rPr>
                              <w:t> »</w:t>
                            </w:r>
                          </w:p>
                          <w:p w:rsidR="00294900" w:rsidRPr="00120115" w:rsidRDefault="00294900" w:rsidP="00294900">
                            <w:pPr>
                              <w:rPr>
                                <w:lang w:val="fr-BE"/>
                              </w:rPr>
                            </w:pPr>
                          </w:p>
                          <w:p w:rsidR="00294900" w:rsidRDefault="00294900" w:rsidP="00294900">
                            <w:pPr>
                              <w:rPr>
                                <w:lang w:val="fr-BE"/>
                              </w:rPr>
                            </w:pPr>
                          </w:p>
                          <w:p w:rsidR="00624AD1" w:rsidRDefault="00624AD1" w:rsidP="00294900">
                            <w:pPr>
                              <w:rPr>
                                <w:lang w:val="fr-BE"/>
                              </w:rPr>
                            </w:pPr>
                          </w:p>
                          <w:p w:rsidR="00624AD1" w:rsidRDefault="00624AD1" w:rsidP="00294900">
                            <w:pPr>
                              <w:rPr>
                                <w:lang w:val="fr-BE"/>
                              </w:rPr>
                            </w:pPr>
                          </w:p>
                          <w:p w:rsidR="00624AD1" w:rsidRDefault="00624AD1" w:rsidP="00294900">
                            <w:pPr>
                              <w:rPr>
                                <w:lang w:val="fr-BE"/>
                              </w:rPr>
                            </w:pPr>
                          </w:p>
                          <w:p w:rsidR="00624AD1" w:rsidRDefault="00624AD1" w:rsidP="00294900">
                            <w:pPr>
                              <w:rPr>
                                <w:lang w:val="fr-BE"/>
                              </w:rPr>
                            </w:pPr>
                          </w:p>
                          <w:p w:rsidR="00624AD1" w:rsidRDefault="00624AD1" w:rsidP="00294900">
                            <w:pPr>
                              <w:rPr>
                                <w:lang w:val="fr-BE"/>
                              </w:rPr>
                            </w:pPr>
                          </w:p>
                          <w:p w:rsidR="00624AD1" w:rsidRDefault="00624AD1" w:rsidP="00294900">
                            <w:pPr>
                              <w:rPr>
                                <w:lang w:val="fr-BE"/>
                              </w:rPr>
                            </w:pPr>
                          </w:p>
                          <w:p w:rsidR="00624AD1" w:rsidRPr="00120115" w:rsidRDefault="00624AD1" w:rsidP="00294900">
                            <w:pPr>
                              <w:rPr>
                                <w:lang w:val="fr-BE"/>
                              </w:rPr>
                            </w:pPr>
                          </w:p>
                          <w:p w:rsidR="00624AD1" w:rsidRPr="003B57AD" w:rsidRDefault="00624AD1" w:rsidP="00624AD1">
                            <w:pPr>
                              <w:rPr>
                                <w:lang w:val="fr-BE"/>
                              </w:rPr>
                            </w:pPr>
                            <w:r>
                              <w:rPr>
                                <w:lang w:val="fr-FR"/>
                              </w:rPr>
                              <w:t>« </w:t>
                            </w:r>
                            <w:r w:rsidR="005C3B7F">
                              <w:rPr>
                                <w:b/>
                                <w:i/>
                                <w:sz w:val="28"/>
                                <w:szCs w:val="28"/>
                                <w:lang w:val="fr-FR"/>
                              </w:rPr>
                              <w:t>Crucial</w:t>
                            </w:r>
                            <w:r>
                              <w:rPr>
                                <w:b/>
                                <w:i/>
                                <w:sz w:val="28"/>
                                <w:szCs w:val="28"/>
                                <w:lang w:val="fr-FR"/>
                              </w:rPr>
                              <w:t xml:space="preserve"> d’attirer plus de jeunes travailleurs qualifiés</w:t>
                            </w:r>
                            <w:r>
                              <w:rPr>
                                <w:lang w:val="fr-FR"/>
                              </w:rPr>
                              <w:t> »</w:t>
                            </w:r>
                          </w:p>
                          <w:p w:rsidR="00294900" w:rsidRPr="00120115" w:rsidRDefault="00294900" w:rsidP="00294900">
                            <w:pPr>
                              <w:rPr>
                                <w:lang w:val="fr-BE"/>
                              </w:rPr>
                            </w:pPr>
                          </w:p>
                          <w:p w:rsidR="00294900" w:rsidRPr="00120115" w:rsidRDefault="00294900" w:rsidP="00294900">
                            <w:pPr>
                              <w:rPr>
                                <w:lang w:val="fr-BE"/>
                              </w:rPr>
                            </w:pPr>
                          </w:p>
                          <w:p w:rsidR="00294900" w:rsidRPr="00120115" w:rsidRDefault="00294900" w:rsidP="00294900">
                            <w:pPr>
                              <w:rPr>
                                <w:lang w:val="fr-BE"/>
                              </w:rPr>
                            </w:pPr>
                          </w:p>
                          <w:p w:rsidR="00294900" w:rsidRPr="00120115" w:rsidRDefault="00294900" w:rsidP="00294900">
                            <w:pPr>
                              <w:rPr>
                                <w:lang w:val="fr-BE"/>
                              </w:rPr>
                            </w:pPr>
                          </w:p>
                          <w:p w:rsidR="00294900" w:rsidRPr="00120115" w:rsidRDefault="00294900" w:rsidP="00294900">
                            <w:pPr>
                              <w:rPr>
                                <w:lang w:val="fr-BE"/>
                              </w:rPr>
                            </w:pPr>
                          </w:p>
                          <w:p w:rsidR="00294900" w:rsidRPr="00120115" w:rsidRDefault="00294900" w:rsidP="00294900">
                            <w:pPr>
                              <w:rPr>
                                <w:lang w:val="fr-BE"/>
                              </w:rPr>
                            </w:pPr>
                          </w:p>
                          <w:p w:rsidR="00294900" w:rsidRPr="00120115" w:rsidRDefault="00294900" w:rsidP="00294900">
                            <w:pPr>
                              <w:rPr>
                                <w:lang w:val="fr-BE"/>
                              </w:rPr>
                            </w:pPr>
                          </w:p>
                          <w:p w:rsidR="00294900" w:rsidRPr="00120115" w:rsidRDefault="00294900" w:rsidP="00294900">
                            <w:pPr>
                              <w:rPr>
                                <w:lang w:val="fr-BE"/>
                              </w:rPr>
                            </w:pPr>
                          </w:p>
                          <w:p w:rsidR="00294900" w:rsidRPr="00120115" w:rsidRDefault="00294900" w:rsidP="00294900">
                            <w:pPr>
                              <w:rPr>
                                <w:lang w:val="fr-BE"/>
                              </w:rPr>
                            </w:pPr>
                          </w:p>
                          <w:p w:rsidR="00294900" w:rsidRPr="00120115" w:rsidRDefault="00294900" w:rsidP="00294900">
                            <w:pPr>
                              <w:rPr>
                                <w:lang w:val="fr-BE"/>
                              </w:rPr>
                            </w:pPr>
                          </w:p>
                          <w:p w:rsidR="00294900" w:rsidRPr="00120115" w:rsidRDefault="00294900" w:rsidP="00294900">
                            <w:pPr>
                              <w:rPr>
                                <w:lang w:val="fr-BE"/>
                              </w:rPr>
                            </w:pPr>
                          </w:p>
                          <w:p w:rsidR="00294900" w:rsidRPr="00120115" w:rsidRDefault="00294900" w:rsidP="00294900">
                            <w:pPr>
                              <w:rPr>
                                <w:lang w:val="fr-BE"/>
                              </w:rPr>
                            </w:pPr>
                          </w:p>
                          <w:p w:rsidR="00294900" w:rsidRPr="00120115" w:rsidRDefault="00294900" w:rsidP="00294900">
                            <w:pPr>
                              <w:rPr>
                                <w:lang w:val="fr-BE"/>
                              </w:rPr>
                            </w:pPr>
                          </w:p>
                          <w:p w:rsidR="00294900" w:rsidRPr="00120115" w:rsidRDefault="00294900" w:rsidP="00294900">
                            <w:pPr>
                              <w:rPr>
                                <w:lang w:val="fr-BE"/>
                              </w:rPr>
                            </w:pPr>
                          </w:p>
                          <w:p w:rsidR="00294900" w:rsidRPr="00120115" w:rsidRDefault="00294900" w:rsidP="00294900">
                            <w:pPr>
                              <w:rPr>
                                <w:lang w:val="fr-BE"/>
                              </w:rPr>
                            </w:pPr>
                          </w:p>
                          <w:p w:rsidR="00294900" w:rsidRPr="00120115" w:rsidRDefault="00294900" w:rsidP="00294900">
                            <w:pPr>
                              <w:rPr>
                                <w:lang w:val="fr-BE"/>
                              </w:rPr>
                            </w:pPr>
                          </w:p>
                          <w:p w:rsidR="00294900" w:rsidRPr="00120115" w:rsidRDefault="00294900" w:rsidP="00294900">
                            <w:pPr>
                              <w:rPr>
                                <w:lang w:val="fr-BE"/>
                              </w:rPr>
                            </w:pPr>
                          </w:p>
                          <w:p w:rsidR="00294900" w:rsidRPr="00120115" w:rsidRDefault="00294900" w:rsidP="00294900">
                            <w:pPr>
                              <w:rPr>
                                <w:lang w:val="fr-BE"/>
                              </w:rPr>
                            </w:pPr>
                          </w:p>
                          <w:p w:rsidR="00294900" w:rsidRPr="00120115" w:rsidRDefault="00294900" w:rsidP="00294900">
                            <w:pPr>
                              <w:rPr>
                                <w:lang w:val="fr-BE"/>
                              </w:rPr>
                            </w:pPr>
                          </w:p>
                          <w:p w:rsidR="00294900" w:rsidRPr="00120115" w:rsidRDefault="00294900" w:rsidP="00294900">
                            <w:pPr>
                              <w:rPr>
                                <w:lang w:val="fr-BE"/>
                              </w:rPr>
                            </w:pPr>
                          </w:p>
                          <w:p w:rsidR="00294900" w:rsidRPr="00120115" w:rsidRDefault="00294900" w:rsidP="00294900">
                            <w:pPr>
                              <w:rPr>
                                <w:lang w:val="fr-B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2CD2AC" id="_x0000_s1027" type="#_x0000_t202" style="position:absolute;left:0;text-align:left;margin-left:310.15pt;margin-top:2.65pt;width:153.35pt;height:672.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" stroked="f">
                <v:textbox>
                  <w:txbxContent>
                    <w:p w:rsidR="00C432D5" w:rsidRDefault="00C432D5" w:rsidP="00294900">
                      <w:pPr>
                        <w:rPr>
                          <w:lang w:val="fr-FR"/>
                        </w:rPr>
                      </w:pPr>
                    </w:p>
                    <w:p w:rsidR="00294900" w:rsidRPr="00120115" w:rsidRDefault="00C432D5" w:rsidP="00294900">
                      <w:pPr>
                        <w:rPr>
                          <w:lang w:val="fr-BE"/>
                        </w:rPr>
                      </w:pPr>
                      <w:r>
                        <w:rPr>
                          <w:lang w:val="fr-FR"/>
                        </w:rPr>
                        <w:t>« </w:t>
                      </w:r>
                      <w:r>
                        <w:rPr>
                          <w:b/>
                          <w:i/>
                          <w:sz w:val="28"/>
                          <w:szCs w:val="28"/>
                          <w:lang w:val="fr-FR"/>
                        </w:rPr>
                        <w:t>Exportations en dehors de l’EU-15</w:t>
                      </w:r>
                      <w:r w:rsidR="00624AD1">
                        <w:rPr>
                          <w:b/>
                          <w:i/>
                          <w:sz w:val="28"/>
                          <w:szCs w:val="28"/>
                          <w:lang w:val="fr-FR"/>
                        </w:rPr>
                        <w:t> : forte augmentation</w:t>
                      </w:r>
                      <w:r>
                        <w:rPr>
                          <w:lang w:val="fr-FR"/>
                        </w:rPr>
                        <w:t> »</w:t>
                      </w:r>
                    </w:p>
                    <w:p w:rsidR="00294900" w:rsidRPr="00120115" w:rsidRDefault="00294900" w:rsidP="00294900">
                      <w:pPr>
                        <w:rPr>
                          <w:lang w:val="fr-BE"/>
                        </w:rPr>
                      </w:pPr>
                    </w:p>
                    <w:p w:rsidR="00294900" w:rsidRPr="00120115" w:rsidRDefault="00294900" w:rsidP="00294900">
                      <w:pPr>
                        <w:rPr>
                          <w:lang w:val="fr-BE"/>
                        </w:rPr>
                      </w:pPr>
                    </w:p>
                    <w:p w:rsidR="00294900" w:rsidRDefault="00294900" w:rsidP="00294900">
                      <w:pPr>
                        <w:rPr>
                          <w:lang w:val="fr-BE"/>
                        </w:rPr>
                      </w:pPr>
                    </w:p>
                    <w:p w:rsidR="00C432D5" w:rsidRDefault="00C432D5" w:rsidP="00294900">
                      <w:pPr>
                        <w:rPr>
                          <w:lang w:val="fr-BE"/>
                        </w:rPr>
                      </w:pPr>
                    </w:p>
                    <w:p w:rsidR="00C432D5" w:rsidRDefault="00C432D5" w:rsidP="00294900">
                      <w:pPr>
                        <w:rPr>
                          <w:lang w:val="fr-BE"/>
                        </w:rPr>
                      </w:pPr>
                    </w:p>
                    <w:p w:rsidR="00C432D5" w:rsidRDefault="00C432D5" w:rsidP="00294900">
                      <w:pPr>
                        <w:rPr>
                          <w:lang w:val="fr-BE"/>
                        </w:rPr>
                      </w:pPr>
                    </w:p>
                    <w:p w:rsidR="00C432D5" w:rsidRDefault="00C432D5" w:rsidP="00294900">
                      <w:pPr>
                        <w:rPr>
                          <w:lang w:val="fr-BE"/>
                        </w:rPr>
                      </w:pPr>
                    </w:p>
                    <w:p w:rsidR="00624AD1" w:rsidRPr="00120115" w:rsidRDefault="00624AD1" w:rsidP="00294900">
                      <w:pPr>
                        <w:rPr>
                          <w:lang w:val="fr-BE"/>
                        </w:rPr>
                      </w:pPr>
                    </w:p>
                    <w:p w:rsidR="00C432D5" w:rsidRPr="003B57AD" w:rsidRDefault="00C432D5" w:rsidP="00C432D5">
                      <w:pPr>
                        <w:rPr>
                          <w:lang w:val="fr-BE"/>
                        </w:rPr>
                      </w:pPr>
                      <w:r>
                        <w:rPr>
                          <w:lang w:val="fr-FR"/>
                        </w:rPr>
                        <w:t>« </w:t>
                      </w:r>
                      <w:r>
                        <w:rPr>
                          <w:b/>
                          <w:i/>
                          <w:sz w:val="28"/>
                          <w:szCs w:val="28"/>
                          <w:lang w:val="fr-FR"/>
                        </w:rPr>
                        <w:t>Compétitivité</w:t>
                      </w:r>
                      <w:r w:rsidR="00624AD1">
                        <w:rPr>
                          <w:b/>
                          <w:i/>
                          <w:sz w:val="28"/>
                          <w:szCs w:val="28"/>
                          <w:lang w:val="fr-FR"/>
                        </w:rPr>
                        <w:t xml:space="preserve"> et marges</w:t>
                      </w:r>
                      <w:r>
                        <w:rPr>
                          <w:b/>
                          <w:i/>
                          <w:sz w:val="28"/>
                          <w:szCs w:val="28"/>
                          <w:lang w:val="fr-FR"/>
                        </w:rPr>
                        <w:t xml:space="preserve"> sous pression</w:t>
                      </w:r>
                      <w:r>
                        <w:rPr>
                          <w:lang w:val="fr-FR"/>
                        </w:rPr>
                        <w:t> »</w:t>
                      </w:r>
                    </w:p>
                    <w:p w:rsidR="00294900" w:rsidRPr="00120115" w:rsidRDefault="00294900" w:rsidP="00294900">
                      <w:pPr>
                        <w:rPr>
                          <w:lang w:val="fr-BE"/>
                        </w:rPr>
                      </w:pPr>
                    </w:p>
                    <w:p w:rsidR="00294900" w:rsidRDefault="00294900" w:rsidP="00294900">
                      <w:pPr>
                        <w:rPr>
                          <w:lang w:val="fr-BE"/>
                        </w:rPr>
                      </w:pPr>
                    </w:p>
                    <w:p w:rsidR="00624AD1" w:rsidRDefault="00624AD1" w:rsidP="00294900">
                      <w:pPr>
                        <w:rPr>
                          <w:lang w:val="fr-BE"/>
                        </w:rPr>
                      </w:pPr>
                    </w:p>
                    <w:p w:rsidR="00624AD1" w:rsidRDefault="00624AD1" w:rsidP="00294900">
                      <w:pPr>
                        <w:rPr>
                          <w:lang w:val="fr-BE"/>
                        </w:rPr>
                      </w:pPr>
                    </w:p>
                    <w:p w:rsidR="00624AD1" w:rsidRDefault="00624AD1" w:rsidP="00294900">
                      <w:pPr>
                        <w:rPr>
                          <w:lang w:val="fr-BE"/>
                        </w:rPr>
                      </w:pPr>
                    </w:p>
                    <w:p w:rsidR="00624AD1" w:rsidRDefault="00624AD1" w:rsidP="00294900">
                      <w:pPr>
                        <w:rPr>
                          <w:lang w:val="fr-BE"/>
                        </w:rPr>
                      </w:pPr>
                    </w:p>
                    <w:p w:rsidR="00624AD1" w:rsidRDefault="00624AD1" w:rsidP="00294900">
                      <w:pPr>
                        <w:rPr>
                          <w:lang w:val="fr-BE"/>
                        </w:rPr>
                      </w:pPr>
                    </w:p>
                    <w:p w:rsidR="00624AD1" w:rsidRDefault="00624AD1" w:rsidP="00294900">
                      <w:pPr>
                        <w:rPr>
                          <w:lang w:val="fr-BE"/>
                        </w:rPr>
                      </w:pPr>
                    </w:p>
                    <w:p w:rsidR="00624AD1" w:rsidRPr="00120115" w:rsidRDefault="00624AD1" w:rsidP="00294900">
                      <w:pPr>
                        <w:rPr>
                          <w:lang w:val="fr-BE"/>
                        </w:rPr>
                      </w:pPr>
                    </w:p>
                    <w:p w:rsidR="00624AD1" w:rsidRPr="003B57AD" w:rsidRDefault="00624AD1" w:rsidP="00624AD1">
                      <w:pPr>
                        <w:rPr>
                          <w:lang w:val="fr-BE"/>
                        </w:rPr>
                      </w:pPr>
                      <w:r>
                        <w:rPr>
                          <w:lang w:val="fr-FR"/>
                        </w:rPr>
                        <w:t>« </w:t>
                      </w:r>
                      <w:r w:rsidR="005C3B7F">
                        <w:rPr>
                          <w:b/>
                          <w:i/>
                          <w:sz w:val="28"/>
                          <w:szCs w:val="28"/>
                          <w:lang w:val="fr-FR"/>
                        </w:rPr>
                        <w:t>Crucial</w:t>
                      </w:r>
                      <w:r>
                        <w:rPr>
                          <w:b/>
                          <w:i/>
                          <w:sz w:val="28"/>
                          <w:szCs w:val="28"/>
                          <w:lang w:val="fr-FR"/>
                        </w:rPr>
                        <w:t xml:space="preserve"> d’attirer plus de jeunes travailleurs qualifiés</w:t>
                      </w:r>
                      <w:r>
                        <w:rPr>
                          <w:lang w:val="fr-FR"/>
                        </w:rPr>
                        <w:t> »</w:t>
                      </w:r>
                    </w:p>
                    <w:p w:rsidR="00294900" w:rsidRPr="00120115" w:rsidRDefault="00294900" w:rsidP="00294900">
                      <w:pPr>
                        <w:rPr>
                          <w:lang w:val="fr-BE"/>
                        </w:rPr>
                      </w:pPr>
                    </w:p>
                    <w:p w:rsidR="00294900" w:rsidRPr="00120115" w:rsidRDefault="00294900" w:rsidP="00294900">
                      <w:pPr>
                        <w:rPr>
                          <w:lang w:val="fr-BE"/>
                        </w:rPr>
                      </w:pPr>
                    </w:p>
                    <w:p w:rsidR="00294900" w:rsidRPr="00120115" w:rsidRDefault="00294900" w:rsidP="00294900">
                      <w:pPr>
                        <w:rPr>
                          <w:lang w:val="fr-BE"/>
                        </w:rPr>
                      </w:pPr>
                    </w:p>
                    <w:p w:rsidR="00294900" w:rsidRPr="00120115" w:rsidRDefault="00294900" w:rsidP="00294900">
                      <w:pPr>
                        <w:rPr>
                          <w:lang w:val="fr-BE"/>
                        </w:rPr>
                      </w:pPr>
                    </w:p>
                    <w:p w:rsidR="00294900" w:rsidRPr="00120115" w:rsidRDefault="00294900" w:rsidP="00294900">
                      <w:pPr>
                        <w:rPr>
                          <w:lang w:val="fr-BE"/>
                        </w:rPr>
                      </w:pPr>
                    </w:p>
                    <w:p w:rsidR="00294900" w:rsidRPr="00120115" w:rsidRDefault="00294900" w:rsidP="00294900">
                      <w:pPr>
                        <w:rPr>
                          <w:lang w:val="fr-BE"/>
                        </w:rPr>
                      </w:pPr>
                    </w:p>
                    <w:p w:rsidR="00294900" w:rsidRPr="00120115" w:rsidRDefault="00294900" w:rsidP="00294900">
                      <w:pPr>
                        <w:rPr>
                          <w:lang w:val="fr-BE"/>
                        </w:rPr>
                      </w:pPr>
                    </w:p>
                    <w:p w:rsidR="00294900" w:rsidRPr="00120115" w:rsidRDefault="00294900" w:rsidP="00294900">
                      <w:pPr>
                        <w:rPr>
                          <w:lang w:val="fr-BE"/>
                        </w:rPr>
                      </w:pPr>
                    </w:p>
                    <w:p w:rsidR="00294900" w:rsidRPr="00120115" w:rsidRDefault="00294900" w:rsidP="00294900">
                      <w:pPr>
                        <w:rPr>
                          <w:lang w:val="fr-BE"/>
                        </w:rPr>
                      </w:pPr>
                    </w:p>
                    <w:p w:rsidR="00294900" w:rsidRPr="00120115" w:rsidRDefault="00294900" w:rsidP="00294900">
                      <w:pPr>
                        <w:rPr>
                          <w:lang w:val="fr-BE"/>
                        </w:rPr>
                      </w:pPr>
                    </w:p>
                    <w:p w:rsidR="00294900" w:rsidRPr="00120115" w:rsidRDefault="00294900" w:rsidP="00294900">
                      <w:pPr>
                        <w:rPr>
                          <w:lang w:val="fr-BE"/>
                        </w:rPr>
                      </w:pPr>
                    </w:p>
                    <w:p w:rsidR="00294900" w:rsidRPr="00120115" w:rsidRDefault="00294900" w:rsidP="00294900">
                      <w:pPr>
                        <w:rPr>
                          <w:lang w:val="fr-BE"/>
                        </w:rPr>
                      </w:pPr>
                    </w:p>
                    <w:p w:rsidR="00294900" w:rsidRPr="00120115" w:rsidRDefault="00294900" w:rsidP="00294900">
                      <w:pPr>
                        <w:rPr>
                          <w:lang w:val="fr-BE"/>
                        </w:rPr>
                      </w:pPr>
                    </w:p>
                    <w:p w:rsidR="00294900" w:rsidRPr="00120115" w:rsidRDefault="00294900" w:rsidP="00294900">
                      <w:pPr>
                        <w:rPr>
                          <w:lang w:val="fr-BE"/>
                        </w:rPr>
                      </w:pPr>
                    </w:p>
                    <w:p w:rsidR="00294900" w:rsidRPr="00120115" w:rsidRDefault="00294900" w:rsidP="00294900">
                      <w:pPr>
                        <w:rPr>
                          <w:lang w:val="fr-BE"/>
                        </w:rPr>
                      </w:pPr>
                    </w:p>
                    <w:p w:rsidR="00294900" w:rsidRPr="00120115" w:rsidRDefault="00294900" w:rsidP="00294900">
                      <w:pPr>
                        <w:rPr>
                          <w:lang w:val="fr-BE"/>
                        </w:rPr>
                      </w:pPr>
                    </w:p>
                    <w:p w:rsidR="00294900" w:rsidRPr="00120115" w:rsidRDefault="00294900" w:rsidP="00294900">
                      <w:pPr>
                        <w:rPr>
                          <w:lang w:val="fr-BE"/>
                        </w:rPr>
                      </w:pPr>
                    </w:p>
                    <w:p w:rsidR="00294900" w:rsidRPr="00120115" w:rsidRDefault="00294900" w:rsidP="00294900">
                      <w:pPr>
                        <w:rPr>
                          <w:lang w:val="fr-BE"/>
                        </w:rPr>
                      </w:pPr>
                    </w:p>
                    <w:p w:rsidR="00294900" w:rsidRPr="00120115" w:rsidRDefault="00294900" w:rsidP="00294900">
                      <w:pPr>
                        <w:rPr>
                          <w:lang w:val="fr-BE"/>
                        </w:rPr>
                      </w:pPr>
                    </w:p>
                    <w:p w:rsidR="00294900" w:rsidRPr="00120115" w:rsidRDefault="00294900" w:rsidP="00294900">
                      <w:pPr>
                        <w:rPr>
                          <w:lang w:val="fr-BE"/>
                        </w:rPr>
                      </w:pPr>
                    </w:p>
                    <w:p w:rsidR="00294900" w:rsidRPr="00120115" w:rsidRDefault="00294900" w:rsidP="00294900">
                      <w:pPr>
                        <w:rPr>
                          <w:lang w:val="fr-BE"/>
                        </w:rPr>
                      </w:pPr>
                    </w:p>
                  </w:txbxContent>
                </v:textbox>
                <w10:wrap type="square"/>
              </v:shape>
            </w:pict>
          </mc:Fallback>
        </mc:AlternateContent>
      </w:r>
      <w:r w:rsidRPr="00294900">
        <w:rPr>
          <w:lang w:val="fr-BE"/>
        </w:rPr>
        <w:t>0,9 milliards d’euros. Les principaux produits d’exportation de l’industrie alimentaire wallonne sont les produits laitiers, les préparations de légumes (les pommes de te</w:t>
      </w:r>
      <w:r>
        <w:rPr>
          <w:lang w:val="fr-BE"/>
        </w:rPr>
        <w:t>rre surgelées) et les boissons.</w:t>
      </w:r>
    </w:p>
    <w:p w:rsidR="00294900" w:rsidRPr="00294900" w:rsidRDefault="00294900" w:rsidP="00294900">
      <w:pPr>
        <w:spacing w:after="0"/>
        <w:jc w:val="both"/>
        <w:rPr>
          <w:lang w:val="fr-BE"/>
        </w:rPr>
      </w:pPr>
    </w:p>
    <w:p w:rsidR="00294900" w:rsidRDefault="00294900" w:rsidP="00120115">
      <w:pPr>
        <w:spacing w:after="0"/>
        <w:jc w:val="both"/>
        <w:rPr>
          <w:lang w:val="fr-BE"/>
        </w:rPr>
      </w:pPr>
      <w:r w:rsidRPr="00120115">
        <w:rPr>
          <w:b/>
          <w:lang w:val="fr-BE"/>
        </w:rPr>
        <w:t>En 2014, 16% du total des exportations concernait des exportations en dehors de l’EU-15,</w:t>
      </w:r>
      <w:r w:rsidRPr="00294900">
        <w:rPr>
          <w:lang w:val="fr-BE"/>
        </w:rPr>
        <w:t xml:space="preserve"> ce qui représente une forte augmentation : en 2004 cette part était seulement de 12,7%. Les principaux produits d’exportation lointaine sont à nouveaux les produits laitiers, les préparations de légumes (les pommes de terre surgelées) et les boissons. La conquête des marchés hors de l’EU-28 (les Etats-Unis, BRICS, NEXT-11,…) sera cruciale pour la croissance future de l’industrie alimentaire wallonne.</w:t>
      </w:r>
      <w:r w:rsidRPr="00294900">
        <w:rPr>
          <w:b/>
          <w:noProof/>
          <w:lang w:val="fr-FR"/>
        </w:rPr>
        <w:t xml:space="preserve"> </w:t>
      </w:r>
    </w:p>
    <w:p w:rsidR="00294900" w:rsidRDefault="00294900" w:rsidP="00120115">
      <w:pPr>
        <w:spacing w:after="0"/>
        <w:jc w:val="both"/>
        <w:rPr>
          <w:lang w:val="fr-BE"/>
        </w:rPr>
      </w:pPr>
    </w:p>
    <w:p w:rsidR="00294900" w:rsidRPr="00120115" w:rsidRDefault="00294900" w:rsidP="00294900">
      <w:pPr>
        <w:spacing w:after="0"/>
        <w:jc w:val="both"/>
        <w:rPr>
          <w:lang w:val="fr-BE"/>
        </w:rPr>
      </w:pPr>
      <w:r w:rsidRPr="00AB562A">
        <w:rPr>
          <w:b/>
          <w:lang w:val="fr-BE"/>
        </w:rPr>
        <w:t>La compétitivité de l’industrie alimentaire est sous pression.</w:t>
      </w:r>
      <w:r w:rsidRPr="00AB562A">
        <w:rPr>
          <w:lang w:val="fr-BE"/>
        </w:rPr>
        <w:t xml:space="preserve"> Les coûts salariaux de l’industrie alimentaire belge sont 21,</w:t>
      </w:r>
      <w:r>
        <w:rPr>
          <w:lang w:val="fr-BE"/>
        </w:rPr>
        <w:t>8</w:t>
      </w:r>
      <w:r w:rsidRPr="00AB562A">
        <w:rPr>
          <w:lang w:val="fr-BE"/>
        </w:rPr>
        <w:t>% plus élevés que ceux de nos pays voisins</w:t>
      </w:r>
      <w:r>
        <w:rPr>
          <w:lang w:val="fr-BE"/>
        </w:rPr>
        <w:t xml:space="preserve"> et l</w:t>
      </w:r>
      <w:r w:rsidRPr="00AB562A">
        <w:rPr>
          <w:lang w:val="fr-BE"/>
        </w:rPr>
        <w:t>a part des coûts salariaux dans la valeur ajoutée augmente depuis 2005. Un signal clair que la rentabilité et la compétitivité sont sous pression suite</w:t>
      </w:r>
      <w:r w:rsidR="0076465D">
        <w:rPr>
          <w:lang w:val="fr-BE"/>
        </w:rPr>
        <w:t xml:space="preserve"> aux</w:t>
      </w:r>
      <w:r w:rsidRPr="00AB562A">
        <w:rPr>
          <w:lang w:val="fr-BE"/>
        </w:rPr>
        <w:t xml:space="preserve"> les coûts salariaux élevés. A cela s’ajoute la fiscalité et les coûts énergétiques (plus particulièrement pour les petites entreprises intensives en énergie), qui viennent renforcer le handicap de compétitivité de l’industrie alimentaire.</w:t>
      </w:r>
      <w:r w:rsidR="002B5595">
        <w:rPr>
          <w:lang w:val="fr-BE"/>
        </w:rPr>
        <w:t xml:space="preserve"> </w:t>
      </w:r>
      <w:r w:rsidR="002B5595" w:rsidRPr="00120115">
        <w:rPr>
          <w:lang w:val="fr-BE"/>
        </w:rPr>
        <w:t>La taxe au kilomètre aura un impact</w:t>
      </w:r>
      <w:r w:rsidR="002B5595">
        <w:rPr>
          <w:lang w:val="fr-BE"/>
        </w:rPr>
        <w:t xml:space="preserve"> énorme</w:t>
      </w:r>
      <w:r w:rsidR="002B5595" w:rsidRPr="00120115">
        <w:rPr>
          <w:lang w:val="fr-BE"/>
        </w:rPr>
        <w:t xml:space="preserve"> sur les coûts de transport et sur la compétitivité de notre secteur</w:t>
      </w:r>
    </w:p>
    <w:p w:rsidR="00294900" w:rsidRDefault="00294900" w:rsidP="00294900">
      <w:pPr>
        <w:spacing w:after="0"/>
        <w:jc w:val="both"/>
        <w:rPr>
          <w:lang w:val="fr-BE"/>
        </w:rPr>
      </w:pPr>
    </w:p>
    <w:p w:rsidR="00294900" w:rsidRDefault="00294900" w:rsidP="00294900">
      <w:pPr>
        <w:spacing w:after="0"/>
        <w:jc w:val="both"/>
        <w:rPr>
          <w:lang w:val="fr-BE"/>
        </w:rPr>
      </w:pPr>
      <w:r w:rsidRPr="00AB562A">
        <w:rPr>
          <w:lang w:val="fr-BE"/>
        </w:rPr>
        <w:t>En raison de l'augmentation du prix des matières premières, de l'énergie, des coûts du travail et de la fiscalité, on constate une baisse structurelle de la rentabilité depuis 2005.</w:t>
      </w:r>
      <w:r w:rsidRPr="00AF5D26">
        <w:rPr>
          <w:lang w:val="fr-FR"/>
        </w:rPr>
        <w:t xml:space="preserve"> </w:t>
      </w:r>
      <w:r w:rsidRPr="00FD0274">
        <w:rPr>
          <w:lang w:val="fr-FR"/>
        </w:rPr>
        <w:t xml:space="preserve">Une entreprise alimentaire </w:t>
      </w:r>
      <w:r>
        <w:rPr>
          <w:lang w:val="fr-FR"/>
        </w:rPr>
        <w:t xml:space="preserve">moyenne </w:t>
      </w:r>
      <w:r w:rsidRPr="00FD0274">
        <w:rPr>
          <w:lang w:val="fr-FR"/>
        </w:rPr>
        <w:t>générait en 201</w:t>
      </w:r>
      <w:r>
        <w:rPr>
          <w:lang w:val="fr-FR"/>
        </w:rPr>
        <w:t>3</w:t>
      </w:r>
      <w:r w:rsidRPr="00FD0274">
        <w:rPr>
          <w:lang w:val="fr-FR"/>
        </w:rPr>
        <w:t xml:space="preserve"> un</w:t>
      </w:r>
      <w:r>
        <w:rPr>
          <w:lang w:val="fr-FR"/>
        </w:rPr>
        <w:t>e</w:t>
      </w:r>
      <w:r w:rsidRPr="00FD0274">
        <w:rPr>
          <w:lang w:val="fr-FR"/>
        </w:rPr>
        <w:t xml:space="preserve"> </w:t>
      </w:r>
      <w:r>
        <w:rPr>
          <w:lang w:val="fr-FR"/>
        </w:rPr>
        <w:t>marge opérationnelle</w:t>
      </w:r>
      <w:r w:rsidRPr="00FD0274">
        <w:rPr>
          <w:lang w:val="fr-FR"/>
        </w:rPr>
        <w:t xml:space="preserve"> net</w:t>
      </w:r>
      <w:r>
        <w:rPr>
          <w:lang w:val="fr-FR"/>
        </w:rPr>
        <w:t>te</w:t>
      </w:r>
      <w:r w:rsidRPr="00FD0274">
        <w:rPr>
          <w:lang w:val="fr-FR"/>
        </w:rPr>
        <w:t xml:space="preserve"> de </w:t>
      </w:r>
      <w:r>
        <w:rPr>
          <w:lang w:val="fr-FR"/>
        </w:rPr>
        <w:t>3,6</w:t>
      </w:r>
      <w:r w:rsidRPr="00FD0274">
        <w:rPr>
          <w:lang w:val="fr-FR"/>
        </w:rPr>
        <w:t>%</w:t>
      </w:r>
      <w:r>
        <w:rPr>
          <w:lang w:val="fr-BE"/>
        </w:rPr>
        <w:t>.</w:t>
      </w:r>
    </w:p>
    <w:p w:rsidR="00294900" w:rsidRPr="00AB562A" w:rsidRDefault="00294900" w:rsidP="00120115">
      <w:pPr>
        <w:spacing w:after="0"/>
        <w:jc w:val="both"/>
        <w:rPr>
          <w:lang w:val="fr-BE"/>
        </w:rPr>
      </w:pPr>
    </w:p>
    <w:p w:rsidR="009E0F18" w:rsidRPr="00120115" w:rsidRDefault="009E0F18" w:rsidP="00120115">
      <w:pPr>
        <w:spacing w:after="0"/>
        <w:jc w:val="both"/>
        <w:rPr>
          <w:lang w:val="fr-BE"/>
        </w:rPr>
      </w:pPr>
      <w:r w:rsidRPr="00120115">
        <w:rPr>
          <w:b/>
          <w:lang w:val="fr-FR"/>
        </w:rPr>
        <w:t>La pyramide des âges des salariés actifs au sein de l’industrie alimentaire wallonne inspire de l’inquiétude.</w:t>
      </w:r>
      <w:r w:rsidRPr="00AB562A">
        <w:rPr>
          <w:lang w:val="fr-FR"/>
        </w:rPr>
        <w:t xml:space="preserve"> La part des moins de 50 ans est en baisse et le nombre des plus de 50 ans est en augmentation. </w:t>
      </w:r>
      <w:r w:rsidR="005C3B7F" w:rsidRPr="00120115">
        <w:rPr>
          <w:lang w:val="fr-BE"/>
        </w:rPr>
        <w:t>En 2005</w:t>
      </w:r>
      <w:r w:rsidR="00B04F5B">
        <w:rPr>
          <w:lang w:val="fr-BE"/>
        </w:rPr>
        <w:t>,</w:t>
      </w:r>
      <w:r w:rsidR="005C3B7F" w:rsidRPr="00120115">
        <w:rPr>
          <w:lang w:val="fr-BE"/>
        </w:rPr>
        <w:t xml:space="preserve"> 17,1</w:t>
      </w:r>
      <w:r w:rsidR="005C3B7F">
        <w:rPr>
          <w:lang w:val="fr-BE"/>
        </w:rPr>
        <w:t>%</w:t>
      </w:r>
      <w:r w:rsidR="005C3B7F" w:rsidRPr="00120115">
        <w:rPr>
          <w:lang w:val="fr-BE"/>
        </w:rPr>
        <w:t xml:space="preserve"> des salariés de l’indust</w:t>
      </w:r>
      <w:r w:rsidR="00B04F5B">
        <w:rPr>
          <w:lang w:val="fr-BE"/>
        </w:rPr>
        <w:t xml:space="preserve">rie alimentaire wallonne avaient plus de </w:t>
      </w:r>
      <w:r w:rsidR="005C3B7F" w:rsidRPr="00120115">
        <w:rPr>
          <w:lang w:val="fr-BE"/>
        </w:rPr>
        <w:t xml:space="preserve">50 ans, </w:t>
      </w:r>
      <w:r w:rsidR="00B04F5B">
        <w:rPr>
          <w:lang w:val="fr-BE"/>
        </w:rPr>
        <w:t xml:space="preserve">alors qu’en 2014 la part des plus de </w:t>
      </w:r>
      <w:r w:rsidR="005C3B7F" w:rsidRPr="00120115">
        <w:rPr>
          <w:lang w:val="fr-BE"/>
        </w:rPr>
        <w:t>50</w:t>
      </w:r>
      <w:r w:rsidR="005C3B7F">
        <w:rPr>
          <w:lang w:val="fr-BE"/>
        </w:rPr>
        <w:t xml:space="preserve"> </w:t>
      </w:r>
      <w:r w:rsidR="00B04F5B">
        <w:rPr>
          <w:lang w:val="fr-BE"/>
        </w:rPr>
        <w:t>ans est passée à</w:t>
      </w:r>
      <w:r w:rsidR="005C3B7F" w:rsidRPr="00120115">
        <w:rPr>
          <w:lang w:val="fr-BE"/>
        </w:rPr>
        <w:t xml:space="preserve"> 26,3% des salariés.</w:t>
      </w:r>
      <w:r w:rsidR="005C3B7F">
        <w:rPr>
          <w:lang w:val="fr-BE"/>
        </w:rPr>
        <w:t xml:space="preserve"> </w:t>
      </w:r>
      <w:r w:rsidRPr="001A357D">
        <w:rPr>
          <w:lang w:val="fr-FR"/>
        </w:rPr>
        <w:t>L'industrie</w:t>
      </w:r>
      <w:r w:rsidRPr="00AB562A">
        <w:rPr>
          <w:lang w:val="fr-FR"/>
        </w:rPr>
        <w:t xml:space="preserve"> alimentaire wallonne a du mal à recruter de nouveaux </w:t>
      </w:r>
      <w:r w:rsidR="006D6AB1" w:rsidRPr="00AB562A">
        <w:rPr>
          <w:lang w:val="fr-FR"/>
        </w:rPr>
        <w:t>travailleurs</w:t>
      </w:r>
      <w:r w:rsidRPr="00AB562A">
        <w:rPr>
          <w:lang w:val="fr-FR"/>
        </w:rPr>
        <w:t>. Une grande part des plus de 50 ans, actifs au sein de l'industrie alimentaire, va prendre sa retraite dans les années à venir. Pour l'avenir de l'industrie alimentaire wallonne, il est crucial d'attirer plus de jeunes travailleurs qualifiés. Le problème d</w:t>
      </w:r>
      <w:r w:rsidR="006D6AB1" w:rsidRPr="00AB562A">
        <w:rPr>
          <w:lang w:val="fr-FR"/>
        </w:rPr>
        <w:t>u</w:t>
      </w:r>
      <w:r w:rsidRPr="00AB562A">
        <w:rPr>
          <w:lang w:val="fr-FR"/>
        </w:rPr>
        <w:t xml:space="preserve"> vieillissement dans l'industrie alimentaire est </w:t>
      </w:r>
      <w:r w:rsidR="005E2EEC" w:rsidRPr="00AB562A">
        <w:rPr>
          <w:lang w:val="fr-FR"/>
        </w:rPr>
        <w:t xml:space="preserve">d’autant plus urgent </w:t>
      </w:r>
      <w:r w:rsidR="006D6AB1" w:rsidRPr="00AB562A">
        <w:rPr>
          <w:lang w:val="fr-FR"/>
        </w:rPr>
        <w:t>qu’il y a un</w:t>
      </w:r>
      <w:r w:rsidR="005E2EEC" w:rsidRPr="00AB562A">
        <w:rPr>
          <w:lang w:val="fr-FR"/>
        </w:rPr>
        <w:t xml:space="preserve"> </w:t>
      </w:r>
      <w:r w:rsidRPr="00AB562A">
        <w:rPr>
          <w:lang w:val="fr-FR"/>
        </w:rPr>
        <w:t xml:space="preserve"> grand nombre de </w:t>
      </w:r>
      <w:r w:rsidR="005E2EEC" w:rsidRPr="00AB562A">
        <w:rPr>
          <w:lang w:val="fr-FR"/>
        </w:rPr>
        <w:t>fonctions</w:t>
      </w:r>
      <w:r w:rsidRPr="00AB562A">
        <w:rPr>
          <w:lang w:val="fr-FR"/>
        </w:rPr>
        <w:t xml:space="preserve"> </w:t>
      </w:r>
      <w:r w:rsidR="005E2EEC" w:rsidRPr="00AB562A">
        <w:rPr>
          <w:lang w:val="fr-FR"/>
        </w:rPr>
        <w:t>en pénurie</w:t>
      </w:r>
      <w:r w:rsidRPr="00AB562A">
        <w:rPr>
          <w:lang w:val="fr-FR"/>
        </w:rPr>
        <w:t xml:space="preserve">. </w:t>
      </w:r>
      <w:r w:rsidR="005E2EEC" w:rsidRPr="00AB562A">
        <w:rPr>
          <w:lang w:val="fr-FR"/>
        </w:rPr>
        <w:t>Ce sont surtout les p</w:t>
      </w:r>
      <w:r w:rsidRPr="00AB562A">
        <w:rPr>
          <w:lang w:val="fr-FR"/>
        </w:rPr>
        <w:t xml:space="preserve">rofils </w:t>
      </w:r>
      <w:r w:rsidRPr="00AB562A">
        <w:rPr>
          <w:lang w:val="fr-FR"/>
        </w:rPr>
        <w:lastRenderedPageBreak/>
        <w:t xml:space="preserve">techniques (comme </w:t>
      </w:r>
      <w:r w:rsidR="005E2EEC" w:rsidRPr="00AB562A">
        <w:rPr>
          <w:lang w:val="fr-FR"/>
        </w:rPr>
        <w:t xml:space="preserve">les </w:t>
      </w:r>
      <w:r w:rsidRPr="00AB562A">
        <w:rPr>
          <w:lang w:val="fr-FR"/>
        </w:rPr>
        <w:t>opérateur</w:t>
      </w:r>
      <w:r w:rsidR="005E2EEC" w:rsidRPr="00AB562A">
        <w:rPr>
          <w:lang w:val="fr-FR"/>
        </w:rPr>
        <w:t>s</w:t>
      </w:r>
      <w:r w:rsidRPr="00AB562A">
        <w:rPr>
          <w:lang w:val="fr-FR"/>
        </w:rPr>
        <w:t xml:space="preserve">) </w:t>
      </w:r>
      <w:r w:rsidR="005E2EEC" w:rsidRPr="00AB562A">
        <w:rPr>
          <w:lang w:val="fr-FR"/>
        </w:rPr>
        <w:t xml:space="preserve">qui </w:t>
      </w:r>
      <w:r w:rsidRPr="00AB562A">
        <w:rPr>
          <w:lang w:val="fr-FR"/>
        </w:rPr>
        <w:t>sont très difficiles à trouver.</w:t>
      </w:r>
    </w:p>
    <w:p w:rsidR="001A357D" w:rsidRPr="00AB562A" w:rsidRDefault="001A357D" w:rsidP="00120115">
      <w:pPr>
        <w:spacing w:after="0"/>
        <w:jc w:val="both"/>
        <w:rPr>
          <w:lang w:val="fr-BE"/>
        </w:rPr>
      </w:pPr>
    </w:p>
    <w:p w:rsidR="00AF016F" w:rsidRDefault="00C432D5" w:rsidP="00120115">
      <w:pPr>
        <w:spacing w:after="0"/>
        <w:jc w:val="both"/>
        <w:rPr>
          <w:lang w:val="fr-BE"/>
        </w:rPr>
      </w:pPr>
      <w:r w:rsidRPr="00C432D5">
        <w:rPr>
          <w:noProof/>
          <w:lang w:eastAsia="nl-BE"/>
        </w:rPr>
        <mc:AlternateContent>
          <mc:Choice Requires="wps">
            <w:drawing>
              <wp:anchor distT="45720" distB="45720" distL="114300" distR="114300" simplePos="0" relativeHeight="251663360" behindDoc="0" locked="0" layoutInCell="1" allowOverlap="1" wp14:anchorId="59D3E487" wp14:editId="30F2E895">
                <wp:simplePos x="0" y="0"/>
                <wp:positionH relativeFrom="column">
                  <wp:posOffset>3938905</wp:posOffset>
                </wp:positionH>
                <wp:positionV relativeFrom="paragraph">
                  <wp:posOffset>5080</wp:posOffset>
                </wp:positionV>
                <wp:extent cx="1947545" cy="2562225"/>
                <wp:effectExtent l="0" t="0" r="0"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2562225"/>
                        </a:xfrm>
                        <a:prstGeom prst="rect">
                          <a:avLst/>
                        </a:prstGeom>
                        <a:solidFill>
                          <a:srgbClr val="FFFFFF"/>
                        </a:solidFill>
                        <a:ln w="9525">
                          <a:noFill/>
                          <a:miter lim="800000"/>
                          <a:headEnd/>
                          <a:tailEnd/>
                        </a:ln>
                      </wps:spPr>
                      <wps:txbx>
                        <w:txbxContent>
                          <w:p w:rsidR="00624AD1" w:rsidRDefault="00624AD1" w:rsidP="00624AD1">
                            <w:pPr>
                              <w:rPr>
                                <w:lang w:val="fr-FR"/>
                              </w:rPr>
                            </w:pPr>
                          </w:p>
                          <w:p w:rsidR="00624AD1" w:rsidRDefault="00624AD1" w:rsidP="00624AD1">
                            <w:pPr>
                              <w:rPr>
                                <w:lang w:val="fr-FR"/>
                              </w:rPr>
                            </w:pPr>
                          </w:p>
                          <w:p w:rsidR="00624AD1" w:rsidRDefault="00624AD1" w:rsidP="00624AD1">
                            <w:pPr>
                              <w:rPr>
                                <w:lang w:val="fr-FR"/>
                              </w:rPr>
                            </w:pPr>
                          </w:p>
                          <w:p w:rsidR="00624AD1" w:rsidRDefault="00624AD1" w:rsidP="00624AD1">
                            <w:pPr>
                              <w:rPr>
                                <w:lang w:val="fr-FR"/>
                              </w:rPr>
                            </w:pPr>
                          </w:p>
                          <w:p w:rsidR="00624AD1" w:rsidRPr="003B57AD" w:rsidRDefault="00624AD1" w:rsidP="00624AD1">
                            <w:pPr>
                              <w:rPr>
                                <w:lang w:val="fr-BE"/>
                              </w:rPr>
                            </w:pPr>
                            <w:r>
                              <w:rPr>
                                <w:lang w:val="fr-FR"/>
                              </w:rPr>
                              <w:t>« </w:t>
                            </w:r>
                            <w:r>
                              <w:rPr>
                                <w:b/>
                                <w:i/>
                                <w:sz w:val="28"/>
                                <w:szCs w:val="28"/>
                                <w:lang w:val="fr-FR"/>
                              </w:rPr>
                              <w:t>Améliorer l’image et la visibilité avec Food.be – Small country. Great food.</w:t>
                            </w:r>
                            <w:r>
                              <w:rPr>
                                <w:lang w:val="fr-FR"/>
                              </w:rPr>
                              <w:t> »</w:t>
                            </w:r>
                          </w:p>
                          <w:p w:rsidR="00C432D5" w:rsidRPr="00120115" w:rsidRDefault="00C432D5">
                            <w:pPr>
                              <w:rPr>
                                <w:lang w:val="fr-B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3E487" id="_x0000_s1028" type="#_x0000_t202" style="position:absolute;left:0;text-align:left;margin-left:310.15pt;margin-top:.4pt;width:153.35pt;height:201.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" stroked="f">
                <v:textbox>
                  <w:txbxContent>
                    <w:p w:rsidR="00624AD1" w:rsidRDefault="00624AD1" w:rsidP="00624AD1">
                      <w:pPr>
                        <w:rPr>
                          <w:lang w:val="fr-FR"/>
                        </w:rPr>
                      </w:pPr>
                    </w:p>
                    <w:p w:rsidR="00624AD1" w:rsidRDefault="00624AD1" w:rsidP="00624AD1">
                      <w:pPr>
                        <w:rPr>
                          <w:lang w:val="fr-FR"/>
                        </w:rPr>
                      </w:pPr>
                    </w:p>
                    <w:p w:rsidR="00624AD1" w:rsidRDefault="00624AD1" w:rsidP="00624AD1">
                      <w:pPr>
                        <w:rPr>
                          <w:lang w:val="fr-FR"/>
                        </w:rPr>
                      </w:pPr>
                    </w:p>
                    <w:p w:rsidR="00624AD1" w:rsidRDefault="00624AD1" w:rsidP="00624AD1">
                      <w:pPr>
                        <w:rPr>
                          <w:lang w:val="fr-FR"/>
                        </w:rPr>
                      </w:pPr>
                    </w:p>
                    <w:p w:rsidR="00624AD1" w:rsidRPr="003B57AD" w:rsidRDefault="00624AD1" w:rsidP="00624AD1">
                      <w:pPr>
                        <w:rPr>
                          <w:lang w:val="fr-BE"/>
                        </w:rPr>
                      </w:pPr>
                      <w:r>
                        <w:rPr>
                          <w:lang w:val="fr-FR"/>
                        </w:rPr>
                        <w:t>« </w:t>
                      </w:r>
                      <w:r>
                        <w:rPr>
                          <w:b/>
                          <w:i/>
                          <w:sz w:val="28"/>
                          <w:szCs w:val="28"/>
                          <w:lang w:val="fr-FR"/>
                        </w:rPr>
                        <w:t>Améliorer l’image et la visibilité avec Food.be – Small country. Great food.</w:t>
                      </w:r>
                      <w:r>
                        <w:rPr>
                          <w:lang w:val="fr-FR"/>
                        </w:rPr>
                        <w:t> »</w:t>
                      </w:r>
                    </w:p>
                    <w:p w:rsidR="00C432D5" w:rsidRPr="00120115" w:rsidRDefault="00C432D5">
                      <w:pPr>
                        <w:rPr>
                          <w:lang w:val="fr-BE"/>
                        </w:rPr>
                      </w:pPr>
                    </w:p>
                  </w:txbxContent>
                </v:textbox>
                <w10:wrap type="square"/>
              </v:shape>
            </w:pict>
          </mc:Fallback>
        </mc:AlternateContent>
      </w:r>
      <w:r w:rsidR="00A15B47" w:rsidRPr="00AB562A">
        <w:rPr>
          <w:lang w:val="fr-BE"/>
        </w:rPr>
        <w:t>L'exportation vers des marchés lointains sera d'une importance primordiale p</w:t>
      </w:r>
      <w:r w:rsidR="00AF016F" w:rsidRPr="00AB562A">
        <w:rPr>
          <w:lang w:val="fr-BE"/>
        </w:rPr>
        <w:t xml:space="preserve">our l'avenir de l'industrie alimentaire wallonne. Pour </w:t>
      </w:r>
      <w:r w:rsidR="00A15B47" w:rsidRPr="00AB562A">
        <w:rPr>
          <w:lang w:val="fr-BE"/>
        </w:rPr>
        <w:t>pouvoir</w:t>
      </w:r>
      <w:r w:rsidR="00AF016F" w:rsidRPr="00AB562A">
        <w:rPr>
          <w:lang w:val="fr-BE"/>
        </w:rPr>
        <w:t xml:space="preserve"> </w:t>
      </w:r>
      <w:r w:rsidR="00A15B47" w:rsidRPr="00AB562A">
        <w:rPr>
          <w:lang w:val="fr-BE"/>
        </w:rPr>
        <w:t>conquérir</w:t>
      </w:r>
      <w:r w:rsidR="00AF016F" w:rsidRPr="00AB562A">
        <w:rPr>
          <w:lang w:val="fr-BE"/>
        </w:rPr>
        <w:t xml:space="preserve"> </w:t>
      </w:r>
      <w:r w:rsidR="001D6C4C" w:rsidRPr="00AB562A">
        <w:rPr>
          <w:lang w:val="fr-BE"/>
        </w:rPr>
        <w:t>c</w:t>
      </w:r>
      <w:r w:rsidR="00AF016F" w:rsidRPr="00AB562A">
        <w:rPr>
          <w:lang w:val="fr-BE"/>
        </w:rPr>
        <w:t xml:space="preserve">es marchés lointains, nos entreprises doivent </w:t>
      </w:r>
      <w:r w:rsidR="00E710EA" w:rsidRPr="00AB562A">
        <w:rPr>
          <w:lang w:val="fr-BE"/>
        </w:rPr>
        <w:t xml:space="preserve">être compétitives. Des mesures structurelles </w:t>
      </w:r>
      <w:r w:rsidR="00A15B47" w:rsidRPr="00AB562A">
        <w:rPr>
          <w:lang w:val="fr-BE"/>
        </w:rPr>
        <w:t xml:space="preserve">pour </w:t>
      </w:r>
      <w:r w:rsidR="00AF016F" w:rsidRPr="00AB562A">
        <w:rPr>
          <w:lang w:val="fr-BE"/>
        </w:rPr>
        <w:t xml:space="preserve">améliorer </w:t>
      </w:r>
      <w:r w:rsidR="00A15B47" w:rsidRPr="00AB562A">
        <w:rPr>
          <w:lang w:val="fr-BE"/>
        </w:rPr>
        <w:t>cette</w:t>
      </w:r>
      <w:r w:rsidR="00AF016F" w:rsidRPr="00AB562A">
        <w:rPr>
          <w:lang w:val="fr-BE"/>
        </w:rPr>
        <w:t xml:space="preserve"> comp</w:t>
      </w:r>
      <w:r w:rsidR="00084E86" w:rsidRPr="00AB562A">
        <w:rPr>
          <w:lang w:val="fr-BE"/>
        </w:rPr>
        <w:t>étitivité (coûts salariaux, coûts énergétiques et</w:t>
      </w:r>
      <w:r w:rsidR="00AF016F" w:rsidRPr="00AB562A">
        <w:rPr>
          <w:lang w:val="fr-BE"/>
        </w:rPr>
        <w:t xml:space="preserve"> taxes) sont</w:t>
      </w:r>
      <w:r w:rsidR="00A15B47" w:rsidRPr="00AB562A">
        <w:rPr>
          <w:lang w:val="fr-BE"/>
        </w:rPr>
        <w:t xml:space="preserve"> donc</w:t>
      </w:r>
      <w:r w:rsidR="00AF016F" w:rsidRPr="00AB562A">
        <w:rPr>
          <w:lang w:val="fr-BE"/>
        </w:rPr>
        <w:t xml:space="preserve"> nécessaires.</w:t>
      </w:r>
    </w:p>
    <w:p w:rsidR="001A357D" w:rsidRPr="00AB562A" w:rsidRDefault="001A357D" w:rsidP="00120115">
      <w:pPr>
        <w:spacing w:after="0"/>
        <w:jc w:val="both"/>
        <w:rPr>
          <w:lang w:val="fr-BE"/>
        </w:rPr>
      </w:pPr>
    </w:p>
    <w:p w:rsidR="00E710EA" w:rsidRPr="002974AB" w:rsidRDefault="00E710EA" w:rsidP="00120115">
      <w:pPr>
        <w:spacing w:after="0"/>
        <w:jc w:val="both"/>
        <w:rPr>
          <w:lang w:val="fr-FR"/>
        </w:rPr>
      </w:pPr>
      <w:r w:rsidRPr="00AB562A">
        <w:rPr>
          <w:lang w:val="fr-BE"/>
        </w:rPr>
        <w:t>En même temps, la valeur ajoutée (réelle) des produits alimentaire</w:t>
      </w:r>
      <w:r w:rsidR="002974AB" w:rsidRPr="00AB562A">
        <w:rPr>
          <w:lang w:val="fr-BE"/>
        </w:rPr>
        <w:t>s</w:t>
      </w:r>
      <w:r w:rsidRPr="00AB562A">
        <w:rPr>
          <w:lang w:val="fr-BE"/>
        </w:rPr>
        <w:t xml:space="preserve"> doit augmenter. L’innovation et le « branding » des produits alimentaire</w:t>
      </w:r>
      <w:r w:rsidR="002974AB" w:rsidRPr="00AB562A">
        <w:rPr>
          <w:lang w:val="fr-BE"/>
        </w:rPr>
        <w:t>s</w:t>
      </w:r>
      <w:r w:rsidRPr="00AB562A">
        <w:rPr>
          <w:lang w:val="fr-BE"/>
        </w:rPr>
        <w:t xml:space="preserve"> belge</w:t>
      </w:r>
      <w:r w:rsidR="002974AB" w:rsidRPr="00AB562A">
        <w:rPr>
          <w:lang w:val="fr-BE"/>
        </w:rPr>
        <w:t>s</w:t>
      </w:r>
      <w:r w:rsidRPr="00AB562A">
        <w:rPr>
          <w:lang w:val="fr-BE"/>
        </w:rPr>
        <w:t xml:space="preserve"> vers des marchés étranger</w:t>
      </w:r>
      <w:r w:rsidR="002974AB" w:rsidRPr="00AB562A">
        <w:rPr>
          <w:lang w:val="fr-BE"/>
        </w:rPr>
        <w:t>s</w:t>
      </w:r>
      <w:r w:rsidRPr="00AB562A">
        <w:rPr>
          <w:lang w:val="fr-BE"/>
        </w:rPr>
        <w:t xml:space="preserve"> </w:t>
      </w:r>
      <w:r w:rsidR="00A15B47" w:rsidRPr="00AB562A">
        <w:rPr>
          <w:lang w:val="fr-BE"/>
        </w:rPr>
        <w:t xml:space="preserve">en </w:t>
      </w:r>
      <w:r w:rsidRPr="00AB562A">
        <w:rPr>
          <w:lang w:val="fr-BE"/>
        </w:rPr>
        <w:t xml:space="preserve">sont </w:t>
      </w:r>
      <w:r w:rsidR="002974AB" w:rsidRPr="00AB562A">
        <w:rPr>
          <w:lang w:val="fr-BE"/>
        </w:rPr>
        <w:t xml:space="preserve">la </w:t>
      </w:r>
      <w:r w:rsidRPr="00AB562A">
        <w:rPr>
          <w:lang w:val="fr-BE"/>
        </w:rPr>
        <w:t>clé. Pour améliorer l'image et la visibilité des produits alimentaire</w:t>
      </w:r>
      <w:r w:rsidR="00084E86" w:rsidRPr="00AB562A">
        <w:rPr>
          <w:lang w:val="fr-BE"/>
        </w:rPr>
        <w:t>s</w:t>
      </w:r>
      <w:r w:rsidRPr="00AB562A">
        <w:rPr>
          <w:lang w:val="fr-BE"/>
        </w:rPr>
        <w:t xml:space="preserve"> belges </w:t>
      </w:r>
      <w:r w:rsidR="00A15B47" w:rsidRPr="00AB562A">
        <w:rPr>
          <w:lang w:val="fr-BE"/>
        </w:rPr>
        <w:t>sur les</w:t>
      </w:r>
      <w:r w:rsidRPr="00AB562A">
        <w:rPr>
          <w:lang w:val="fr-BE"/>
        </w:rPr>
        <w:t xml:space="preserve"> marchés étranger</w:t>
      </w:r>
      <w:r w:rsidR="002974AB" w:rsidRPr="00AB562A">
        <w:rPr>
          <w:lang w:val="fr-BE"/>
        </w:rPr>
        <w:t>s</w:t>
      </w:r>
      <w:r w:rsidRPr="00AB562A">
        <w:rPr>
          <w:lang w:val="fr-BE"/>
        </w:rPr>
        <w:t>, F</w:t>
      </w:r>
      <w:r w:rsidR="00A15B47" w:rsidRPr="00AB562A">
        <w:rPr>
          <w:lang w:val="fr-BE"/>
        </w:rPr>
        <w:t>EVIA</w:t>
      </w:r>
      <w:r w:rsidRPr="00AB562A">
        <w:rPr>
          <w:lang w:val="fr-BE"/>
        </w:rPr>
        <w:t xml:space="preserve"> a développé le concept "</w:t>
      </w:r>
      <w:r w:rsidRPr="00AB562A">
        <w:rPr>
          <w:b/>
          <w:lang w:val="fr-BE"/>
        </w:rPr>
        <w:t>Food.be – Small country. Great food.”</w:t>
      </w:r>
      <w:r w:rsidRPr="00E710EA">
        <w:rPr>
          <w:b/>
          <w:lang w:val="fr-BE"/>
        </w:rPr>
        <w:t xml:space="preserve"> </w:t>
      </w:r>
      <w:r w:rsidRPr="00E710EA">
        <w:rPr>
          <w:lang w:val="fr-BE"/>
        </w:rPr>
        <w:t xml:space="preserve"> </w:t>
      </w:r>
    </w:p>
    <w:p w:rsidR="009C50C5" w:rsidRPr="002974AB" w:rsidRDefault="009C50C5" w:rsidP="00020AAA">
      <w:pPr>
        <w:jc w:val="both"/>
        <w:rPr>
          <w:b/>
          <w:lang w:val="fr-FR"/>
        </w:rPr>
      </w:pPr>
    </w:p>
    <w:tbl>
      <w:tblPr>
        <w:tblW w:w="9075" w:type="dxa"/>
        <w:tblCellMar>
          <w:left w:w="0" w:type="dxa"/>
          <w:right w:w="0" w:type="dxa"/>
        </w:tblCellMar>
        <w:tblLook w:val="0420" w:firstRow="1" w:lastRow="0" w:firstColumn="0" w:lastColumn="0" w:noHBand="0" w:noVBand="1"/>
      </w:tblPr>
      <w:tblGrid>
        <w:gridCol w:w="3806"/>
        <w:gridCol w:w="1703"/>
        <w:gridCol w:w="1302"/>
        <w:gridCol w:w="2264"/>
      </w:tblGrid>
      <w:tr w:rsidR="00B803BC" w:rsidRPr="00B803BC" w:rsidTr="006A0561">
        <w:trPr>
          <w:trHeight w:val="113"/>
        </w:trPr>
        <w:tc>
          <w:tcPr>
            <w:tcW w:w="3806" w:type="dxa"/>
            <w:tcBorders>
              <w:top w:val="single" w:sz="8" w:space="0" w:color="FFFFFF"/>
              <w:left w:val="single" w:sz="8" w:space="0" w:color="FFFFFF"/>
              <w:bottom w:val="single" w:sz="24" w:space="0" w:color="FFFFFF"/>
              <w:right w:val="single" w:sz="8" w:space="0" w:color="FFFFFF"/>
            </w:tcBorders>
            <w:shd w:val="clear" w:color="auto" w:fill="4F81BD"/>
            <w:tcMar>
              <w:top w:w="57" w:type="dxa"/>
              <w:left w:w="57" w:type="dxa"/>
              <w:bottom w:w="57" w:type="dxa"/>
              <w:right w:w="57" w:type="dxa"/>
            </w:tcMar>
            <w:hideMark/>
          </w:tcPr>
          <w:p w:rsidR="00B803BC" w:rsidRPr="006A0561" w:rsidRDefault="00B803BC" w:rsidP="00B803BC">
            <w:pPr>
              <w:jc w:val="center"/>
              <w:rPr>
                <w:b/>
                <w:sz w:val="20"/>
                <w:szCs w:val="20"/>
                <w:lang w:val="en-US"/>
              </w:rPr>
            </w:pPr>
            <w:r w:rsidRPr="006A0561">
              <w:rPr>
                <w:b/>
                <w:bCs/>
                <w:sz w:val="20"/>
                <w:szCs w:val="20"/>
              </w:rPr>
              <w:t>Indicateurs</w:t>
            </w:r>
          </w:p>
        </w:tc>
        <w:tc>
          <w:tcPr>
            <w:tcW w:w="1703" w:type="dxa"/>
            <w:tcBorders>
              <w:top w:val="single" w:sz="8" w:space="0" w:color="FFFFFF"/>
              <w:left w:val="single" w:sz="8" w:space="0" w:color="FFFFFF"/>
              <w:bottom w:val="single" w:sz="24" w:space="0" w:color="FFFFFF"/>
              <w:right w:val="single" w:sz="8" w:space="0" w:color="FFFFFF"/>
            </w:tcBorders>
            <w:shd w:val="clear" w:color="auto" w:fill="4F81BD"/>
            <w:tcMar>
              <w:top w:w="57" w:type="dxa"/>
              <w:left w:w="57" w:type="dxa"/>
              <w:bottom w:w="57" w:type="dxa"/>
              <w:right w:w="57" w:type="dxa"/>
            </w:tcMar>
            <w:hideMark/>
          </w:tcPr>
          <w:p w:rsidR="00B803BC" w:rsidRPr="006A0561" w:rsidRDefault="006A0561" w:rsidP="00B803BC">
            <w:pPr>
              <w:jc w:val="center"/>
              <w:rPr>
                <w:b/>
                <w:sz w:val="20"/>
                <w:szCs w:val="20"/>
                <w:lang w:val="en-US"/>
              </w:rPr>
            </w:pPr>
            <w:r>
              <w:rPr>
                <w:b/>
                <w:bCs/>
                <w:sz w:val="20"/>
                <w:szCs w:val="20"/>
                <w:lang w:val="nl-NL"/>
              </w:rPr>
              <w:t>2014*</w:t>
            </w:r>
          </w:p>
        </w:tc>
        <w:tc>
          <w:tcPr>
            <w:tcW w:w="1302" w:type="dxa"/>
            <w:tcBorders>
              <w:top w:val="single" w:sz="8" w:space="0" w:color="FFFFFF"/>
              <w:left w:val="single" w:sz="8" w:space="0" w:color="FFFFFF"/>
              <w:bottom w:val="single" w:sz="24" w:space="0" w:color="FFFFFF"/>
              <w:right w:val="single" w:sz="8" w:space="0" w:color="FFFFFF"/>
            </w:tcBorders>
            <w:shd w:val="clear" w:color="auto" w:fill="4F81BD"/>
            <w:tcMar>
              <w:top w:w="57" w:type="dxa"/>
              <w:left w:w="57" w:type="dxa"/>
              <w:bottom w:w="57" w:type="dxa"/>
              <w:right w:w="57" w:type="dxa"/>
            </w:tcMar>
            <w:hideMark/>
          </w:tcPr>
          <w:p w:rsidR="00B803BC" w:rsidRPr="006A0561" w:rsidRDefault="00B803BC" w:rsidP="00B803BC">
            <w:pPr>
              <w:jc w:val="center"/>
              <w:rPr>
                <w:b/>
                <w:sz w:val="20"/>
                <w:szCs w:val="20"/>
                <w:lang w:val="en-US"/>
              </w:rPr>
            </w:pPr>
            <w:r w:rsidRPr="006A0561">
              <w:rPr>
                <w:b/>
                <w:bCs/>
                <w:sz w:val="20"/>
                <w:szCs w:val="20"/>
                <w:lang w:val="nl-NL"/>
              </w:rPr>
              <w:t>Δ2013</w:t>
            </w:r>
          </w:p>
        </w:tc>
        <w:tc>
          <w:tcPr>
            <w:tcW w:w="2264" w:type="dxa"/>
            <w:tcBorders>
              <w:top w:val="single" w:sz="8" w:space="0" w:color="FFFFFF"/>
              <w:left w:val="single" w:sz="8" w:space="0" w:color="FFFFFF"/>
              <w:bottom w:val="single" w:sz="24" w:space="0" w:color="FFFFFF"/>
              <w:right w:val="single" w:sz="8" w:space="0" w:color="FFFFFF"/>
            </w:tcBorders>
            <w:shd w:val="clear" w:color="auto" w:fill="4F81BD"/>
            <w:tcMar>
              <w:top w:w="57" w:type="dxa"/>
              <w:left w:w="57" w:type="dxa"/>
              <w:bottom w:w="57" w:type="dxa"/>
              <w:right w:w="57" w:type="dxa"/>
            </w:tcMar>
            <w:hideMark/>
          </w:tcPr>
          <w:p w:rsidR="00B803BC" w:rsidRPr="006A0561" w:rsidRDefault="00B803BC" w:rsidP="00B803BC">
            <w:pPr>
              <w:jc w:val="center"/>
              <w:rPr>
                <w:b/>
                <w:sz w:val="20"/>
                <w:szCs w:val="20"/>
                <w:lang w:val="en-US"/>
              </w:rPr>
            </w:pPr>
            <w:r w:rsidRPr="006A0561">
              <w:rPr>
                <w:b/>
                <w:bCs/>
                <w:sz w:val="20"/>
                <w:szCs w:val="20"/>
              </w:rPr>
              <w:t>Part de l’industrie 2014</w:t>
            </w:r>
          </w:p>
        </w:tc>
      </w:tr>
      <w:tr w:rsidR="00B803BC" w:rsidRPr="00B803BC" w:rsidTr="006A0561">
        <w:trPr>
          <w:trHeight w:val="113"/>
        </w:trPr>
        <w:tc>
          <w:tcPr>
            <w:tcW w:w="3806" w:type="dxa"/>
            <w:tcBorders>
              <w:top w:val="single" w:sz="24" w:space="0" w:color="FFFFFF"/>
              <w:left w:val="single" w:sz="8" w:space="0" w:color="FFFFFF"/>
              <w:bottom w:val="single" w:sz="8" w:space="0" w:color="FFFFFF"/>
              <w:right w:val="single" w:sz="8" w:space="0" w:color="FFFFFF"/>
            </w:tcBorders>
            <w:shd w:val="clear" w:color="auto" w:fill="D0D8E8"/>
            <w:tcMar>
              <w:top w:w="57" w:type="dxa"/>
              <w:left w:w="57" w:type="dxa"/>
              <w:bottom w:w="57" w:type="dxa"/>
              <w:right w:w="57" w:type="dxa"/>
            </w:tcMar>
            <w:hideMark/>
          </w:tcPr>
          <w:p w:rsidR="00B803BC" w:rsidRPr="006A0561" w:rsidRDefault="006A0561" w:rsidP="00B803BC">
            <w:pPr>
              <w:jc w:val="center"/>
              <w:rPr>
                <w:b/>
                <w:sz w:val="20"/>
                <w:szCs w:val="20"/>
                <w:lang w:val="en-US"/>
              </w:rPr>
            </w:pPr>
            <w:r>
              <w:rPr>
                <w:b/>
                <w:bCs/>
                <w:sz w:val="20"/>
                <w:szCs w:val="20"/>
                <w:lang w:val="nl-NL"/>
              </w:rPr>
              <w:t>Chiffre d’affaire</w:t>
            </w:r>
            <w:r w:rsidR="00D909BF">
              <w:rPr>
                <w:b/>
                <w:bCs/>
                <w:sz w:val="20"/>
                <w:szCs w:val="20"/>
                <w:lang w:val="nl-NL"/>
              </w:rPr>
              <w:t>s</w:t>
            </w:r>
            <w:r>
              <w:rPr>
                <w:b/>
                <w:bCs/>
                <w:sz w:val="20"/>
                <w:szCs w:val="20"/>
                <w:lang w:val="nl-NL"/>
              </w:rPr>
              <w:t>***</w:t>
            </w:r>
          </w:p>
        </w:tc>
        <w:tc>
          <w:tcPr>
            <w:tcW w:w="1703" w:type="dxa"/>
            <w:tcBorders>
              <w:top w:val="single" w:sz="24" w:space="0" w:color="FFFFFF"/>
              <w:left w:val="single" w:sz="8" w:space="0" w:color="FFFFFF"/>
              <w:bottom w:val="single" w:sz="8" w:space="0" w:color="FFFFFF"/>
              <w:right w:val="single" w:sz="8" w:space="0" w:color="FFFFFF"/>
            </w:tcBorders>
            <w:shd w:val="clear" w:color="auto" w:fill="D0D8E8"/>
            <w:tcMar>
              <w:top w:w="57" w:type="dxa"/>
              <w:left w:w="57" w:type="dxa"/>
              <w:bottom w:w="57" w:type="dxa"/>
              <w:right w:w="57" w:type="dxa"/>
            </w:tcMar>
            <w:hideMark/>
          </w:tcPr>
          <w:p w:rsidR="00B803BC" w:rsidRPr="006A0561" w:rsidRDefault="00B803BC" w:rsidP="00B803BC">
            <w:pPr>
              <w:jc w:val="center"/>
              <w:rPr>
                <w:b/>
                <w:sz w:val="20"/>
                <w:szCs w:val="20"/>
                <w:lang w:val="en-US"/>
              </w:rPr>
            </w:pPr>
            <w:r w:rsidRPr="006A0561">
              <w:rPr>
                <w:b/>
                <w:bCs/>
                <w:sz w:val="20"/>
                <w:szCs w:val="20"/>
              </w:rPr>
              <w:t>8.183 mio €</w:t>
            </w:r>
          </w:p>
        </w:tc>
        <w:tc>
          <w:tcPr>
            <w:tcW w:w="1302" w:type="dxa"/>
            <w:tcBorders>
              <w:top w:val="single" w:sz="24" w:space="0" w:color="FFFFFF"/>
              <w:left w:val="single" w:sz="8" w:space="0" w:color="FFFFFF"/>
              <w:bottom w:val="single" w:sz="8" w:space="0" w:color="FFFFFF"/>
              <w:right w:val="single" w:sz="8" w:space="0" w:color="FFFFFF"/>
            </w:tcBorders>
            <w:shd w:val="clear" w:color="auto" w:fill="D0D8E8"/>
            <w:tcMar>
              <w:top w:w="57" w:type="dxa"/>
              <w:left w:w="57" w:type="dxa"/>
              <w:bottom w:w="57" w:type="dxa"/>
              <w:right w:w="57" w:type="dxa"/>
            </w:tcMar>
            <w:hideMark/>
          </w:tcPr>
          <w:p w:rsidR="00B803BC" w:rsidRPr="006A0561" w:rsidRDefault="00B803BC" w:rsidP="00B803BC">
            <w:pPr>
              <w:jc w:val="center"/>
              <w:rPr>
                <w:b/>
                <w:sz w:val="20"/>
                <w:szCs w:val="20"/>
                <w:lang w:val="en-US"/>
              </w:rPr>
            </w:pPr>
            <w:r w:rsidRPr="006A0561">
              <w:rPr>
                <w:b/>
                <w:bCs/>
                <w:sz w:val="20"/>
                <w:szCs w:val="20"/>
              </w:rPr>
              <w:t>+10,6%</w:t>
            </w:r>
          </w:p>
        </w:tc>
        <w:tc>
          <w:tcPr>
            <w:tcW w:w="2264" w:type="dxa"/>
            <w:tcBorders>
              <w:top w:val="single" w:sz="24" w:space="0" w:color="FFFFFF"/>
              <w:left w:val="single" w:sz="8" w:space="0" w:color="FFFFFF"/>
              <w:bottom w:val="single" w:sz="8" w:space="0" w:color="FFFFFF"/>
              <w:right w:val="single" w:sz="8" w:space="0" w:color="FFFFFF"/>
            </w:tcBorders>
            <w:shd w:val="clear" w:color="auto" w:fill="D0D8E8"/>
            <w:tcMar>
              <w:top w:w="57" w:type="dxa"/>
              <w:left w:w="57" w:type="dxa"/>
              <w:bottom w:w="57" w:type="dxa"/>
              <w:right w:w="57" w:type="dxa"/>
            </w:tcMar>
            <w:hideMark/>
          </w:tcPr>
          <w:p w:rsidR="00B803BC" w:rsidRPr="006A0561" w:rsidRDefault="00B803BC" w:rsidP="00B803BC">
            <w:pPr>
              <w:jc w:val="center"/>
              <w:rPr>
                <w:b/>
                <w:sz w:val="20"/>
                <w:szCs w:val="20"/>
                <w:lang w:val="en-US"/>
              </w:rPr>
            </w:pPr>
            <w:r w:rsidRPr="006A0561">
              <w:rPr>
                <w:b/>
                <w:bCs/>
                <w:sz w:val="20"/>
                <w:szCs w:val="20"/>
              </w:rPr>
              <w:t>18,7%</w:t>
            </w:r>
          </w:p>
        </w:tc>
      </w:tr>
      <w:tr w:rsidR="00B803BC" w:rsidRPr="00B803BC" w:rsidTr="006A0561">
        <w:trPr>
          <w:trHeight w:val="113"/>
        </w:trPr>
        <w:tc>
          <w:tcPr>
            <w:tcW w:w="3806" w:type="dxa"/>
            <w:tcBorders>
              <w:top w:val="single" w:sz="8" w:space="0" w:color="FFFFFF"/>
              <w:left w:val="single" w:sz="8" w:space="0" w:color="FFFFFF"/>
              <w:bottom w:val="single" w:sz="8" w:space="0" w:color="FFFFFF"/>
              <w:right w:val="single" w:sz="8" w:space="0" w:color="FFFFFF"/>
            </w:tcBorders>
            <w:shd w:val="clear" w:color="auto" w:fill="E9EDF4"/>
            <w:tcMar>
              <w:top w:w="57" w:type="dxa"/>
              <w:left w:w="57" w:type="dxa"/>
              <w:bottom w:w="57" w:type="dxa"/>
              <w:right w:w="57" w:type="dxa"/>
            </w:tcMar>
            <w:hideMark/>
          </w:tcPr>
          <w:p w:rsidR="00B803BC" w:rsidRPr="006A0561" w:rsidRDefault="00B803BC" w:rsidP="006A0561">
            <w:pPr>
              <w:jc w:val="center"/>
              <w:rPr>
                <w:b/>
                <w:sz w:val="20"/>
                <w:szCs w:val="20"/>
                <w:lang w:val="fr-BE"/>
              </w:rPr>
            </w:pPr>
            <w:r w:rsidRPr="006A0561">
              <w:rPr>
                <w:b/>
                <w:bCs/>
                <w:sz w:val="20"/>
                <w:szCs w:val="20"/>
                <w:lang w:val="fr-FR"/>
              </w:rPr>
              <w:t xml:space="preserve">Exportation </w:t>
            </w:r>
          </w:p>
        </w:tc>
        <w:tc>
          <w:tcPr>
            <w:tcW w:w="1703" w:type="dxa"/>
            <w:tcBorders>
              <w:top w:val="single" w:sz="8" w:space="0" w:color="FFFFFF"/>
              <w:left w:val="single" w:sz="8" w:space="0" w:color="FFFFFF"/>
              <w:bottom w:val="single" w:sz="8" w:space="0" w:color="FFFFFF"/>
              <w:right w:val="single" w:sz="8" w:space="0" w:color="FFFFFF"/>
            </w:tcBorders>
            <w:shd w:val="clear" w:color="auto" w:fill="E9EDF4"/>
            <w:tcMar>
              <w:top w:w="57" w:type="dxa"/>
              <w:left w:w="57" w:type="dxa"/>
              <w:bottom w:w="57" w:type="dxa"/>
              <w:right w:w="57" w:type="dxa"/>
            </w:tcMar>
            <w:hideMark/>
          </w:tcPr>
          <w:p w:rsidR="00B803BC" w:rsidRPr="006A0561" w:rsidRDefault="00B803BC" w:rsidP="00B803BC">
            <w:pPr>
              <w:jc w:val="center"/>
              <w:rPr>
                <w:b/>
                <w:sz w:val="20"/>
                <w:szCs w:val="20"/>
                <w:lang w:val="en-US"/>
              </w:rPr>
            </w:pPr>
            <w:r w:rsidRPr="006A0561">
              <w:rPr>
                <w:b/>
                <w:bCs/>
                <w:sz w:val="20"/>
                <w:szCs w:val="20"/>
                <w:lang w:val="nl-NL"/>
              </w:rPr>
              <w:t>4.220 mio €</w:t>
            </w:r>
          </w:p>
        </w:tc>
        <w:tc>
          <w:tcPr>
            <w:tcW w:w="1302" w:type="dxa"/>
            <w:tcBorders>
              <w:top w:val="single" w:sz="8" w:space="0" w:color="FFFFFF"/>
              <w:left w:val="single" w:sz="8" w:space="0" w:color="FFFFFF"/>
              <w:bottom w:val="single" w:sz="8" w:space="0" w:color="FFFFFF"/>
              <w:right w:val="single" w:sz="8" w:space="0" w:color="FFFFFF"/>
            </w:tcBorders>
            <w:shd w:val="clear" w:color="auto" w:fill="E9EDF4"/>
            <w:tcMar>
              <w:top w:w="57" w:type="dxa"/>
              <w:left w:w="57" w:type="dxa"/>
              <w:bottom w:w="57" w:type="dxa"/>
              <w:right w:w="57" w:type="dxa"/>
            </w:tcMar>
            <w:hideMark/>
          </w:tcPr>
          <w:p w:rsidR="00B803BC" w:rsidRPr="006A0561" w:rsidRDefault="00B803BC" w:rsidP="00B803BC">
            <w:pPr>
              <w:jc w:val="center"/>
              <w:rPr>
                <w:b/>
                <w:sz w:val="20"/>
                <w:szCs w:val="20"/>
                <w:lang w:val="en-US"/>
              </w:rPr>
            </w:pPr>
            <w:r w:rsidRPr="006A0561">
              <w:rPr>
                <w:b/>
                <w:bCs/>
                <w:sz w:val="20"/>
                <w:szCs w:val="20"/>
                <w:lang w:val="nl-NL"/>
              </w:rPr>
              <w:t>+2,1 %</w:t>
            </w:r>
          </w:p>
        </w:tc>
        <w:tc>
          <w:tcPr>
            <w:tcW w:w="2264" w:type="dxa"/>
            <w:tcBorders>
              <w:top w:val="single" w:sz="8" w:space="0" w:color="FFFFFF"/>
              <w:left w:val="single" w:sz="8" w:space="0" w:color="FFFFFF"/>
              <w:bottom w:val="single" w:sz="8" w:space="0" w:color="FFFFFF"/>
              <w:right w:val="single" w:sz="8" w:space="0" w:color="FFFFFF"/>
            </w:tcBorders>
            <w:shd w:val="clear" w:color="auto" w:fill="E9EDF4"/>
            <w:tcMar>
              <w:top w:w="57" w:type="dxa"/>
              <w:left w:w="57" w:type="dxa"/>
              <w:bottom w:w="57" w:type="dxa"/>
              <w:right w:w="57" w:type="dxa"/>
            </w:tcMar>
            <w:hideMark/>
          </w:tcPr>
          <w:p w:rsidR="00B803BC" w:rsidRPr="006A0561" w:rsidRDefault="00B803BC" w:rsidP="00B803BC">
            <w:pPr>
              <w:jc w:val="center"/>
              <w:rPr>
                <w:b/>
                <w:sz w:val="20"/>
                <w:szCs w:val="20"/>
                <w:lang w:val="en-US"/>
              </w:rPr>
            </w:pPr>
            <w:r w:rsidRPr="006A0561">
              <w:rPr>
                <w:b/>
                <w:bCs/>
                <w:sz w:val="20"/>
                <w:szCs w:val="20"/>
                <w:lang w:val="nl-NL"/>
              </w:rPr>
              <w:t>9%</w:t>
            </w:r>
          </w:p>
        </w:tc>
      </w:tr>
      <w:tr w:rsidR="00B803BC" w:rsidRPr="00B803BC" w:rsidTr="006A0561">
        <w:trPr>
          <w:trHeight w:val="113"/>
        </w:trPr>
        <w:tc>
          <w:tcPr>
            <w:tcW w:w="3806" w:type="dxa"/>
            <w:tcBorders>
              <w:top w:val="single" w:sz="8" w:space="0" w:color="FFFFFF"/>
              <w:left w:val="single" w:sz="8" w:space="0" w:color="FFFFFF"/>
              <w:bottom w:val="single" w:sz="8" w:space="0" w:color="FFFFFF"/>
              <w:right w:val="single" w:sz="8" w:space="0" w:color="FFFFFF"/>
            </w:tcBorders>
            <w:shd w:val="clear" w:color="auto" w:fill="DCE6F2"/>
            <w:tcMar>
              <w:top w:w="57" w:type="dxa"/>
              <w:left w:w="57" w:type="dxa"/>
              <w:bottom w:w="57" w:type="dxa"/>
              <w:right w:w="57" w:type="dxa"/>
            </w:tcMar>
            <w:hideMark/>
          </w:tcPr>
          <w:p w:rsidR="00B803BC" w:rsidRPr="006A0561" w:rsidRDefault="00B803BC" w:rsidP="006A0561">
            <w:pPr>
              <w:jc w:val="center"/>
              <w:rPr>
                <w:b/>
                <w:sz w:val="20"/>
                <w:szCs w:val="20"/>
                <w:lang w:val="fr-BE"/>
              </w:rPr>
            </w:pPr>
            <w:r w:rsidRPr="006A0561">
              <w:rPr>
                <w:b/>
                <w:bCs/>
                <w:sz w:val="20"/>
                <w:szCs w:val="20"/>
                <w:lang w:val="fr-FR"/>
              </w:rPr>
              <w:t xml:space="preserve">Importation </w:t>
            </w:r>
          </w:p>
        </w:tc>
        <w:tc>
          <w:tcPr>
            <w:tcW w:w="1703" w:type="dxa"/>
            <w:tcBorders>
              <w:top w:val="single" w:sz="8" w:space="0" w:color="FFFFFF"/>
              <w:left w:val="single" w:sz="8" w:space="0" w:color="FFFFFF"/>
              <w:bottom w:val="single" w:sz="8" w:space="0" w:color="FFFFFF"/>
              <w:right w:val="single" w:sz="8" w:space="0" w:color="FFFFFF"/>
            </w:tcBorders>
            <w:shd w:val="clear" w:color="auto" w:fill="DCE6F2"/>
            <w:tcMar>
              <w:top w:w="57" w:type="dxa"/>
              <w:left w:w="57" w:type="dxa"/>
              <w:bottom w:w="57" w:type="dxa"/>
              <w:right w:w="57" w:type="dxa"/>
            </w:tcMar>
            <w:hideMark/>
          </w:tcPr>
          <w:p w:rsidR="00B803BC" w:rsidRPr="006A0561" w:rsidRDefault="00B803BC" w:rsidP="00B803BC">
            <w:pPr>
              <w:jc w:val="center"/>
              <w:rPr>
                <w:b/>
                <w:sz w:val="20"/>
                <w:szCs w:val="20"/>
                <w:lang w:val="en-US"/>
              </w:rPr>
            </w:pPr>
            <w:r w:rsidRPr="006A0561">
              <w:rPr>
                <w:b/>
                <w:bCs/>
                <w:sz w:val="20"/>
                <w:szCs w:val="20"/>
                <w:lang w:val="nl-NL"/>
              </w:rPr>
              <w:t>3.345 mio €</w:t>
            </w:r>
          </w:p>
        </w:tc>
        <w:tc>
          <w:tcPr>
            <w:tcW w:w="1302" w:type="dxa"/>
            <w:tcBorders>
              <w:top w:val="single" w:sz="8" w:space="0" w:color="FFFFFF"/>
              <w:left w:val="single" w:sz="8" w:space="0" w:color="FFFFFF"/>
              <w:bottom w:val="single" w:sz="8" w:space="0" w:color="FFFFFF"/>
              <w:right w:val="single" w:sz="8" w:space="0" w:color="FFFFFF"/>
            </w:tcBorders>
            <w:shd w:val="clear" w:color="auto" w:fill="DCE6F2"/>
            <w:tcMar>
              <w:top w:w="57" w:type="dxa"/>
              <w:left w:w="57" w:type="dxa"/>
              <w:bottom w:w="57" w:type="dxa"/>
              <w:right w:w="57" w:type="dxa"/>
            </w:tcMar>
            <w:hideMark/>
          </w:tcPr>
          <w:p w:rsidR="00B803BC" w:rsidRPr="006A0561" w:rsidRDefault="00B803BC" w:rsidP="00B803BC">
            <w:pPr>
              <w:jc w:val="center"/>
              <w:rPr>
                <w:b/>
                <w:sz w:val="20"/>
                <w:szCs w:val="20"/>
                <w:lang w:val="en-US"/>
              </w:rPr>
            </w:pPr>
            <w:r w:rsidRPr="006A0561">
              <w:rPr>
                <w:b/>
                <w:bCs/>
                <w:sz w:val="20"/>
                <w:szCs w:val="20"/>
                <w:lang w:val="nl-NL"/>
              </w:rPr>
              <w:t>-1,4 %</w:t>
            </w:r>
          </w:p>
        </w:tc>
        <w:tc>
          <w:tcPr>
            <w:tcW w:w="2264" w:type="dxa"/>
            <w:tcBorders>
              <w:top w:val="single" w:sz="8" w:space="0" w:color="FFFFFF"/>
              <w:left w:val="single" w:sz="8" w:space="0" w:color="FFFFFF"/>
              <w:bottom w:val="single" w:sz="8" w:space="0" w:color="FFFFFF"/>
              <w:right w:val="single" w:sz="8" w:space="0" w:color="FFFFFF"/>
            </w:tcBorders>
            <w:shd w:val="clear" w:color="auto" w:fill="DCE6F2"/>
            <w:tcMar>
              <w:top w:w="57" w:type="dxa"/>
              <w:left w:w="57" w:type="dxa"/>
              <w:bottom w:w="57" w:type="dxa"/>
              <w:right w:w="57" w:type="dxa"/>
            </w:tcMar>
            <w:hideMark/>
          </w:tcPr>
          <w:p w:rsidR="00B803BC" w:rsidRPr="006A0561" w:rsidRDefault="00252AA6" w:rsidP="00B803BC">
            <w:pPr>
              <w:jc w:val="center"/>
              <w:rPr>
                <w:b/>
                <w:sz w:val="20"/>
                <w:szCs w:val="20"/>
                <w:lang w:val="en-US"/>
              </w:rPr>
            </w:pPr>
            <w:r>
              <w:rPr>
                <w:b/>
                <w:bCs/>
                <w:sz w:val="20"/>
                <w:szCs w:val="20"/>
                <w:lang w:val="nl-NL"/>
              </w:rPr>
              <w:t>9,5%</w:t>
            </w:r>
          </w:p>
        </w:tc>
      </w:tr>
      <w:tr w:rsidR="00B803BC" w:rsidRPr="00B803BC" w:rsidTr="006A0561">
        <w:trPr>
          <w:trHeight w:val="113"/>
        </w:trPr>
        <w:tc>
          <w:tcPr>
            <w:tcW w:w="3806" w:type="dxa"/>
            <w:tcBorders>
              <w:top w:val="single" w:sz="8" w:space="0" w:color="FFFFFF"/>
              <w:left w:val="single" w:sz="8" w:space="0" w:color="FFFFFF"/>
              <w:bottom w:val="single" w:sz="8" w:space="0" w:color="FFFFFF"/>
              <w:right w:val="single" w:sz="8" w:space="0" w:color="FFFFFF"/>
            </w:tcBorders>
            <w:shd w:val="clear" w:color="auto" w:fill="E9EDF4"/>
            <w:tcMar>
              <w:top w:w="57" w:type="dxa"/>
              <w:left w:w="57" w:type="dxa"/>
              <w:bottom w:w="57" w:type="dxa"/>
              <w:right w:w="57" w:type="dxa"/>
            </w:tcMar>
            <w:hideMark/>
          </w:tcPr>
          <w:p w:rsidR="00B803BC" w:rsidRPr="006A0561" w:rsidRDefault="00B803BC" w:rsidP="006A0561">
            <w:pPr>
              <w:jc w:val="center"/>
              <w:rPr>
                <w:b/>
                <w:sz w:val="20"/>
                <w:szCs w:val="20"/>
                <w:lang w:val="fr-BE"/>
              </w:rPr>
            </w:pPr>
            <w:r w:rsidRPr="006A0561">
              <w:rPr>
                <w:b/>
                <w:bCs/>
                <w:sz w:val="20"/>
                <w:szCs w:val="20"/>
                <w:lang w:val="fr-BE"/>
              </w:rPr>
              <w:t xml:space="preserve">Solde </w:t>
            </w:r>
            <w:r w:rsidR="006A0561">
              <w:rPr>
                <w:b/>
                <w:bCs/>
                <w:sz w:val="20"/>
                <w:szCs w:val="20"/>
                <w:lang w:val="fr-BE"/>
              </w:rPr>
              <w:t>balance commerciale</w:t>
            </w:r>
            <w:r w:rsidRPr="006A0561">
              <w:rPr>
                <w:b/>
                <w:bCs/>
                <w:sz w:val="20"/>
                <w:szCs w:val="20"/>
                <w:lang w:val="fr-BE"/>
              </w:rPr>
              <w:t xml:space="preserve"> </w:t>
            </w:r>
          </w:p>
        </w:tc>
        <w:tc>
          <w:tcPr>
            <w:tcW w:w="1703" w:type="dxa"/>
            <w:tcBorders>
              <w:top w:val="single" w:sz="8" w:space="0" w:color="FFFFFF"/>
              <w:left w:val="single" w:sz="8" w:space="0" w:color="FFFFFF"/>
              <w:bottom w:val="single" w:sz="8" w:space="0" w:color="FFFFFF"/>
              <w:right w:val="single" w:sz="8" w:space="0" w:color="FFFFFF"/>
            </w:tcBorders>
            <w:shd w:val="clear" w:color="auto" w:fill="E9EDF4"/>
            <w:tcMar>
              <w:top w:w="57" w:type="dxa"/>
              <w:left w:w="57" w:type="dxa"/>
              <w:bottom w:w="57" w:type="dxa"/>
              <w:right w:w="57" w:type="dxa"/>
            </w:tcMar>
            <w:hideMark/>
          </w:tcPr>
          <w:p w:rsidR="00B803BC" w:rsidRPr="006A0561" w:rsidRDefault="00B803BC" w:rsidP="00B803BC">
            <w:pPr>
              <w:jc w:val="center"/>
              <w:rPr>
                <w:b/>
                <w:sz w:val="20"/>
                <w:szCs w:val="20"/>
                <w:lang w:val="en-US"/>
              </w:rPr>
            </w:pPr>
            <w:r w:rsidRPr="006A0561">
              <w:rPr>
                <w:b/>
                <w:bCs/>
                <w:sz w:val="20"/>
                <w:szCs w:val="20"/>
                <w:lang w:val="nl-NL"/>
              </w:rPr>
              <w:t>876 mio €</w:t>
            </w:r>
          </w:p>
        </w:tc>
        <w:tc>
          <w:tcPr>
            <w:tcW w:w="1302" w:type="dxa"/>
            <w:tcBorders>
              <w:top w:val="single" w:sz="8" w:space="0" w:color="FFFFFF"/>
              <w:left w:val="single" w:sz="8" w:space="0" w:color="FFFFFF"/>
              <w:bottom w:val="single" w:sz="8" w:space="0" w:color="FFFFFF"/>
              <w:right w:val="single" w:sz="8" w:space="0" w:color="FFFFFF"/>
            </w:tcBorders>
            <w:shd w:val="clear" w:color="auto" w:fill="E9EDF4"/>
            <w:tcMar>
              <w:top w:w="57" w:type="dxa"/>
              <w:left w:w="57" w:type="dxa"/>
              <w:bottom w:w="57" w:type="dxa"/>
              <w:right w:w="57" w:type="dxa"/>
            </w:tcMar>
            <w:hideMark/>
          </w:tcPr>
          <w:p w:rsidR="00B803BC" w:rsidRPr="006A0561" w:rsidRDefault="00B803BC" w:rsidP="00B803BC">
            <w:pPr>
              <w:jc w:val="center"/>
              <w:rPr>
                <w:b/>
                <w:sz w:val="20"/>
                <w:szCs w:val="20"/>
                <w:lang w:val="en-US"/>
              </w:rPr>
            </w:pPr>
            <w:r w:rsidRPr="006A0561">
              <w:rPr>
                <w:b/>
                <w:bCs/>
                <w:sz w:val="20"/>
                <w:szCs w:val="20"/>
                <w:lang w:val="nl-NL"/>
              </w:rPr>
              <w:t>+17,9 %</w:t>
            </w:r>
          </w:p>
        </w:tc>
        <w:tc>
          <w:tcPr>
            <w:tcW w:w="2264" w:type="dxa"/>
            <w:tcBorders>
              <w:top w:val="single" w:sz="8" w:space="0" w:color="FFFFFF"/>
              <w:left w:val="single" w:sz="8" w:space="0" w:color="FFFFFF"/>
              <w:bottom w:val="single" w:sz="8" w:space="0" w:color="FFFFFF"/>
              <w:right w:val="single" w:sz="8" w:space="0" w:color="FFFFFF"/>
            </w:tcBorders>
            <w:shd w:val="clear" w:color="auto" w:fill="E9EDF4"/>
            <w:tcMar>
              <w:top w:w="57" w:type="dxa"/>
              <w:left w:w="57" w:type="dxa"/>
              <w:bottom w:w="57" w:type="dxa"/>
              <w:right w:w="57" w:type="dxa"/>
            </w:tcMar>
            <w:hideMark/>
          </w:tcPr>
          <w:p w:rsidR="00B803BC" w:rsidRPr="006A0561" w:rsidRDefault="00B803BC" w:rsidP="006A0561">
            <w:pPr>
              <w:jc w:val="center"/>
              <w:rPr>
                <w:b/>
                <w:sz w:val="20"/>
                <w:szCs w:val="20"/>
                <w:lang w:val="en-US"/>
              </w:rPr>
            </w:pPr>
            <w:r w:rsidRPr="006A0561">
              <w:rPr>
                <w:b/>
                <w:bCs/>
                <w:sz w:val="20"/>
                <w:szCs w:val="20"/>
                <w:lang w:val="nl-NL"/>
              </w:rPr>
              <w:t xml:space="preserve">pas applicable </w:t>
            </w:r>
          </w:p>
        </w:tc>
      </w:tr>
      <w:tr w:rsidR="00B803BC" w:rsidRPr="00B803BC" w:rsidTr="006A0561">
        <w:trPr>
          <w:trHeight w:val="113"/>
        </w:trPr>
        <w:tc>
          <w:tcPr>
            <w:tcW w:w="3806" w:type="dxa"/>
            <w:tcBorders>
              <w:top w:val="single" w:sz="8" w:space="0" w:color="FFFFFF"/>
              <w:left w:val="single" w:sz="8" w:space="0" w:color="FFFFFF"/>
              <w:bottom w:val="single" w:sz="8" w:space="0" w:color="FFFFFF"/>
              <w:right w:val="single" w:sz="8" w:space="0" w:color="FFFFFF"/>
            </w:tcBorders>
            <w:shd w:val="clear" w:color="auto" w:fill="D0D8E8"/>
            <w:tcMar>
              <w:top w:w="57" w:type="dxa"/>
              <w:left w:w="57" w:type="dxa"/>
              <w:bottom w:w="57" w:type="dxa"/>
              <w:right w:w="57" w:type="dxa"/>
            </w:tcMar>
            <w:hideMark/>
          </w:tcPr>
          <w:p w:rsidR="00B803BC" w:rsidRPr="006A0561" w:rsidRDefault="006A0561" w:rsidP="00B803BC">
            <w:pPr>
              <w:jc w:val="center"/>
              <w:rPr>
                <w:b/>
                <w:sz w:val="20"/>
                <w:szCs w:val="20"/>
                <w:lang w:val="en-US"/>
              </w:rPr>
            </w:pPr>
            <w:r>
              <w:rPr>
                <w:b/>
                <w:bCs/>
                <w:sz w:val="20"/>
                <w:szCs w:val="20"/>
                <w:lang w:val="nl-NL"/>
              </w:rPr>
              <w:t>Postes de travail **</w:t>
            </w:r>
          </w:p>
        </w:tc>
        <w:tc>
          <w:tcPr>
            <w:tcW w:w="1703" w:type="dxa"/>
            <w:tcBorders>
              <w:top w:val="single" w:sz="8" w:space="0" w:color="FFFFFF"/>
              <w:left w:val="single" w:sz="8" w:space="0" w:color="FFFFFF"/>
              <w:bottom w:val="single" w:sz="8" w:space="0" w:color="FFFFFF"/>
              <w:right w:val="single" w:sz="8" w:space="0" w:color="FFFFFF"/>
            </w:tcBorders>
            <w:shd w:val="clear" w:color="auto" w:fill="D0D8E8"/>
            <w:tcMar>
              <w:top w:w="57" w:type="dxa"/>
              <w:left w:w="57" w:type="dxa"/>
              <w:bottom w:w="57" w:type="dxa"/>
              <w:right w:w="57" w:type="dxa"/>
            </w:tcMar>
            <w:hideMark/>
          </w:tcPr>
          <w:p w:rsidR="00B803BC" w:rsidRPr="006A0561" w:rsidRDefault="00B803BC" w:rsidP="00B803BC">
            <w:pPr>
              <w:jc w:val="center"/>
              <w:rPr>
                <w:b/>
                <w:sz w:val="20"/>
                <w:szCs w:val="20"/>
                <w:lang w:val="en-US"/>
              </w:rPr>
            </w:pPr>
            <w:r w:rsidRPr="006A0561">
              <w:rPr>
                <w:b/>
                <w:bCs/>
                <w:sz w:val="20"/>
                <w:szCs w:val="20"/>
              </w:rPr>
              <w:t>20.697</w:t>
            </w:r>
          </w:p>
        </w:tc>
        <w:tc>
          <w:tcPr>
            <w:tcW w:w="1302" w:type="dxa"/>
            <w:tcBorders>
              <w:top w:val="single" w:sz="8" w:space="0" w:color="FFFFFF"/>
              <w:left w:val="single" w:sz="8" w:space="0" w:color="FFFFFF"/>
              <w:bottom w:val="single" w:sz="8" w:space="0" w:color="FFFFFF"/>
              <w:right w:val="single" w:sz="8" w:space="0" w:color="FFFFFF"/>
            </w:tcBorders>
            <w:shd w:val="clear" w:color="auto" w:fill="D0D8E8"/>
            <w:tcMar>
              <w:top w:w="57" w:type="dxa"/>
              <w:left w:w="57" w:type="dxa"/>
              <w:bottom w:w="57" w:type="dxa"/>
              <w:right w:w="57" w:type="dxa"/>
            </w:tcMar>
            <w:hideMark/>
          </w:tcPr>
          <w:p w:rsidR="00B803BC" w:rsidRPr="006A0561" w:rsidRDefault="00B803BC" w:rsidP="00B803BC">
            <w:pPr>
              <w:jc w:val="center"/>
              <w:rPr>
                <w:b/>
                <w:sz w:val="20"/>
                <w:szCs w:val="20"/>
                <w:lang w:val="en-US"/>
              </w:rPr>
            </w:pPr>
            <w:r w:rsidRPr="006A0561">
              <w:rPr>
                <w:b/>
                <w:bCs/>
                <w:sz w:val="20"/>
                <w:szCs w:val="20"/>
              </w:rPr>
              <w:t>-0,1%</w:t>
            </w:r>
          </w:p>
        </w:tc>
        <w:tc>
          <w:tcPr>
            <w:tcW w:w="2264" w:type="dxa"/>
            <w:tcBorders>
              <w:top w:val="single" w:sz="8" w:space="0" w:color="FFFFFF"/>
              <w:left w:val="single" w:sz="8" w:space="0" w:color="FFFFFF"/>
              <w:bottom w:val="single" w:sz="8" w:space="0" w:color="FFFFFF"/>
              <w:right w:val="single" w:sz="8" w:space="0" w:color="FFFFFF"/>
            </w:tcBorders>
            <w:shd w:val="clear" w:color="auto" w:fill="D0D8E8"/>
            <w:tcMar>
              <w:top w:w="57" w:type="dxa"/>
              <w:left w:w="57" w:type="dxa"/>
              <w:bottom w:w="57" w:type="dxa"/>
              <w:right w:w="57" w:type="dxa"/>
            </w:tcMar>
            <w:hideMark/>
          </w:tcPr>
          <w:p w:rsidR="00B803BC" w:rsidRPr="006A0561" w:rsidRDefault="00B803BC" w:rsidP="00B803BC">
            <w:pPr>
              <w:jc w:val="center"/>
              <w:rPr>
                <w:b/>
                <w:sz w:val="20"/>
                <w:szCs w:val="20"/>
                <w:lang w:val="en-US"/>
              </w:rPr>
            </w:pPr>
            <w:r w:rsidRPr="006A0561">
              <w:rPr>
                <w:b/>
                <w:bCs/>
                <w:sz w:val="20"/>
                <w:szCs w:val="20"/>
              </w:rPr>
              <w:t>16,9%</w:t>
            </w:r>
          </w:p>
        </w:tc>
      </w:tr>
      <w:tr w:rsidR="00B803BC" w:rsidRPr="00B803BC" w:rsidTr="006A0561">
        <w:trPr>
          <w:trHeight w:val="113"/>
        </w:trPr>
        <w:tc>
          <w:tcPr>
            <w:tcW w:w="3806" w:type="dxa"/>
            <w:tcBorders>
              <w:top w:val="single" w:sz="8" w:space="0" w:color="FFFFFF"/>
              <w:left w:val="single" w:sz="8" w:space="0" w:color="FFFFFF"/>
              <w:bottom w:val="single" w:sz="8" w:space="0" w:color="FFFFFF"/>
              <w:right w:val="single" w:sz="8" w:space="0" w:color="FFFFFF"/>
            </w:tcBorders>
            <w:shd w:val="clear" w:color="auto" w:fill="D0D8E8"/>
            <w:tcMar>
              <w:top w:w="57" w:type="dxa"/>
              <w:left w:w="57" w:type="dxa"/>
              <w:bottom w:w="57" w:type="dxa"/>
              <w:right w:w="57" w:type="dxa"/>
            </w:tcMar>
            <w:hideMark/>
          </w:tcPr>
          <w:p w:rsidR="00B803BC" w:rsidRPr="006A0561" w:rsidRDefault="006A0561" w:rsidP="00B803BC">
            <w:pPr>
              <w:jc w:val="center"/>
              <w:rPr>
                <w:b/>
                <w:sz w:val="20"/>
                <w:szCs w:val="20"/>
                <w:lang w:val="en-US"/>
              </w:rPr>
            </w:pPr>
            <w:r>
              <w:rPr>
                <w:b/>
                <w:bCs/>
                <w:sz w:val="20"/>
                <w:szCs w:val="20"/>
                <w:lang w:val="nl-NL"/>
              </w:rPr>
              <w:t>Lieux de travail **</w:t>
            </w:r>
          </w:p>
        </w:tc>
        <w:tc>
          <w:tcPr>
            <w:tcW w:w="1703" w:type="dxa"/>
            <w:tcBorders>
              <w:top w:val="single" w:sz="8" w:space="0" w:color="FFFFFF"/>
              <w:left w:val="single" w:sz="8" w:space="0" w:color="FFFFFF"/>
              <w:bottom w:val="single" w:sz="8" w:space="0" w:color="FFFFFF"/>
              <w:right w:val="single" w:sz="8" w:space="0" w:color="FFFFFF"/>
            </w:tcBorders>
            <w:shd w:val="clear" w:color="auto" w:fill="D0D8E8"/>
            <w:tcMar>
              <w:top w:w="57" w:type="dxa"/>
              <w:left w:w="57" w:type="dxa"/>
              <w:bottom w:w="57" w:type="dxa"/>
              <w:right w:w="57" w:type="dxa"/>
            </w:tcMar>
            <w:hideMark/>
          </w:tcPr>
          <w:p w:rsidR="00B803BC" w:rsidRPr="006A0561" w:rsidRDefault="00B803BC" w:rsidP="00B803BC">
            <w:pPr>
              <w:jc w:val="center"/>
              <w:rPr>
                <w:b/>
                <w:sz w:val="20"/>
                <w:szCs w:val="20"/>
                <w:lang w:val="en-US"/>
              </w:rPr>
            </w:pPr>
            <w:r w:rsidRPr="006A0561">
              <w:rPr>
                <w:b/>
                <w:bCs/>
                <w:sz w:val="20"/>
                <w:szCs w:val="20"/>
              </w:rPr>
              <w:t>1.436</w:t>
            </w:r>
          </w:p>
        </w:tc>
        <w:tc>
          <w:tcPr>
            <w:tcW w:w="1302" w:type="dxa"/>
            <w:tcBorders>
              <w:top w:val="single" w:sz="8" w:space="0" w:color="FFFFFF"/>
              <w:left w:val="single" w:sz="8" w:space="0" w:color="FFFFFF"/>
              <w:bottom w:val="single" w:sz="8" w:space="0" w:color="FFFFFF"/>
              <w:right w:val="single" w:sz="8" w:space="0" w:color="FFFFFF"/>
            </w:tcBorders>
            <w:shd w:val="clear" w:color="auto" w:fill="D0D8E8"/>
            <w:tcMar>
              <w:top w:w="57" w:type="dxa"/>
              <w:left w:w="57" w:type="dxa"/>
              <w:bottom w:w="57" w:type="dxa"/>
              <w:right w:w="57" w:type="dxa"/>
            </w:tcMar>
            <w:hideMark/>
          </w:tcPr>
          <w:p w:rsidR="00B803BC" w:rsidRPr="006A0561" w:rsidRDefault="00B803BC" w:rsidP="00B803BC">
            <w:pPr>
              <w:jc w:val="center"/>
              <w:rPr>
                <w:b/>
                <w:sz w:val="20"/>
                <w:szCs w:val="20"/>
                <w:lang w:val="en-US"/>
              </w:rPr>
            </w:pPr>
            <w:r w:rsidRPr="006A0561">
              <w:rPr>
                <w:b/>
                <w:bCs/>
                <w:sz w:val="20"/>
                <w:szCs w:val="20"/>
              </w:rPr>
              <w:t>-1,4%</w:t>
            </w:r>
          </w:p>
        </w:tc>
        <w:tc>
          <w:tcPr>
            <w:tcW w:w="2264" w:type="dxa"/>
            <w:tcBorders>
              <w:top w:val="single" w:sz="8" w:space="0" w:color="FFFFFF"/>
              <w:left w:val="single" w:sz="8" w:space="0" w:color="FFFFFF"/>
              <w:bottom w:val="single" w:sz="8" w:space="0" w:color="FFFFFF"/>
              <w:right w:val="single" w:sz="8" w:space="0" w:color="FFFFFF"/>
            </w:tcBorders>
            <w:shd w:val="clear" w:color="auto" w:fill="D0D8E8"/>
            <w:tcMar>
              <w:top w:w="57" w:type="dxa"/>
              <w:left w:w="57" w:type="dxa"/>
              <w:bottom w:w="57" w:type="dxa"/>
              <w:right w:w="57" w:type="dxa"/>
            </w:tcMar>
            <w:hideMark/>
          </w:tcPr>
          <w:p w:rsidR="00B803BC" w:rsidRPr="006A0561" w:rsidRDefault="00B803BC" w:rsidP="00B803BC">
            <w:pPr>
              <w:jc w:val="center"/>
              <w:rPr>
                <w:b/>
                <w:sz w:val="20"/>
                <w:szCs w:val="20"/>
                <w:lang w:val="en-US"/>
              </w:rPr>
            </w:pPr>
            <w:r w:rsidRPr="006A0561">
              <w:rPr>
                <w:b/>
                <w:bCs/>
                <w:sz w:val="20"/>
                <w:szCs w:val="20"/>
              </w:rPr>
              <w:t>28,8%</w:t>
            </w:r>
          </w:p>
        </w:tc>
      </w:tr>
    </w:tbl>
    <w:p w:rsidR="006A0561" w:rsidRPr="006A0561" w:rsidRDefault="006A0561" w:rsidP="006A0561">
      <w:pPr>
        <w:spacing w:after="0"/>
        <w:jc w:val="both"/>
        <w:rPr>
          <w:b/>
          <w:sz w:val="14"/>
          <w:szCs w:val="14"/>
          <w:lang w:val="fr-BE"/>
        </w:rPr>
      </w:pPr>
      <w:r>
        <w:rPr>
          <w:b/>
          <w:sz w:val="14"/>
          <w:szCs w:val="14"/>
          <w:lang w:val="fr-BE"/>
        </w:rPr>
        <w:t>*</w:t>
      </w:r>
      <w:r w:rsidRPr="006A0561">
        <w:rPr>
          <w:b/>
          <w:sz w:val="14"/>
          <w:szCs w:val="14"/>
          <w:lang w:val="fr-BE"/>
        </w:rPr>
        <w:t xml:space="preserve"> estimations pour 2014 sur la base de chiffres provisoires </w:t>
      </w:r>
    </w:p>
    <w:p w:rsidR="006A0561" w:rsidRPr="006A0561" w:rsidRDefault="006A0561" w:rsidP="006A0561">
      <w:pPr>
        <w:spacing w:after="0"/>
        <w:jc w:val="both"/>
        <w:rPr>
          <w:b/>
          <w:sz w:val="14"/>
          <w:szCs w:val="14"/>
          <w:lang w:val="fr-BE"/>
        </w:rPr>
      </w:pPr>
      <w:r>
        <w:rPr>
          <w:b/>
          <w:sz w:val="14"/>
          <w:szCs w:val="14"/>
          <w:lang w:val="fr-BE"/>
        </w:rPr>
        <w:t>**</w:t>
      </w:r>
      <w:r w:rsidRPr="006A0561">
        <w:rPr>
          <w:b/>
          <w:sz w:val="14"/>
          <w:szCs w:val="14"/>
          <w:lang w:val="fr-BE"/>
        </w:rPr>
        <w:t xml:space="preserve"> estimation pour 2014 sur base des taux de croissance des statistiques centralisées Q</w:t>
      </w:r>
      <w:r>
        <w:rPr>
          <w:b/>
          <w:sz w:val="14"/>
          <w:szCs w:val="14"/>
          <w:lang w:val="fr-BE"/>
        </w:rPr>
        <w:t>2 2013</w:t>
      </w:r>
    </w:p>
    <w:p w:rsidR="009C50C5" w:rsidRDefault="006A0561" w:rsidP="006A0561">
      <w:pPr>
        <w:spacing w:after="0"/>
        <w:jc w:val="both"/>
        <w:rPr>
          <w:b/>
          <w:sz w:val="14"/>
          <w:szCs w:val="14"/>
          <w:lang w:val="fr-BE"/>
        </w:rPr>
      </w:pPr>
      <w:r>
        <w:rPr>
          <w:b/>
          <w:sz w:val="14"/>
          <w:szCs w:val="14"/>
          <w:lang w:val="fr-BE"/>
        </w:rPr>
        <w:t>*** valeur connue pour</w:t>
      </w:r>
      <w:r w:rsidRPr="006A0561">
        <w:rPr>
          <w:b/>
          <w:sz w:val="14"/>
          <w:szCs w:val="14"/>
          <w:lang w:val="fr-BE"/>
        </w:rPr>
        <w:t xml:space="preserve"> les denrées alimentaires, estimation pour les boissons</w:t>
      </w:r>
    </w:p>
    <w:p w:rsidR="00C432D5" w:rsidRDefault="00C432D5" w:rsidP="006A0561">
      <w:pPr>
        <w:spacing w:after="0"/>
        <w:jc w:val="both"/>
        <w:rPr>
          <w:b/>
          <w:sz w:val="14"/>
          <w:szCs w:val="14"/>
          <w:lang w:val="fr-BE"/>
        </w:rPr>
      </w:pPr>
    </w:p>
    <w:p w:rsidR="00C432D5" w:rsidRDefault="00C432D5" w:rsidP="006A0561">
      <w:pPr>
        <w:spacing w:after="0"/>
        <w:jc w:val="both"/>
        <w:rPr>
          <w:b/>
          <w:sz w:val="14"/>
          <w:szCs w:val="14"/>
          <w:lang w:val="fr-BE"/>
        </w:rPr>
      </w:pPr>
    </w:p>
    <w:p w:rsidR="00C432D5" w:rsidRDefault="00C432D5" w:rsidP="006A0561">
      <w:pPr>
        <w:spacing w:after="0"/>
        <w:jc w:val="both"/>
        <w:rPr>
          <w:b/>
          <w:sz w:val="14"/>
          <w:szCs w:val="14"/>
          <w:lang w:val="fr-BE"/>
        </w:rPr>
      </w:pPr>
    </w:p>
    <w:p w:rsidR="00C432D5" w:rsidRDefault="00C432D5" w:rsidP="006A0561">
      <w:pPr>
        <w:spacing w:after="0"/>
        <w:jc w:val="both"/>
        <w:rPr>
          <w:b/>
          <w:sz w:val="14"/>
          <w:szCs w:val="14"/>
          <w:lang w:val="fr-BE"/>
        </w:rPr>
      </w:pPr>
    </w:p>
    <w:p w:rsidR="00C432D5" w:rsidRDefault="00C432D5" w:rsidP="006A0561">
      <w:pPr>
        <w:spacing w:after="0"/>
        <w:jc w:val="both"/>
        <w:rPr>
          <w:b/>
          <w:sz w:val="14"/>
          <w:szCs w:val="14"/>
          <w:lang w:val="fr-BE"/>
        </w:rPr>
      </w:pPr>
    </w:p>
    <w:p w:rsidR="00C432D5" w:rsidRDefault="00C432D5" w:rsidP="006A0561">
      <w:pPr>
        <w:spacing w:after="0"/>
        <w:jc w:val="both"/>
        <w:rPr>
          <w:b/>
          <w:sz w:val="14"/>
          <w:szCs w:val="14"/>
          <w:lang w:val="fr-BE"/>
        </w:rPr>
      </w:pPr>
    </w:p>
    <w:p w:rsidR="00C432D5" w:rsidRDefault="00C432D5" w:rsidP="006A0561">
      <w:pPr>
        <w:spacing w:after="0"/>
        <w:jc w:val="both"/>
        <w:rPr>
          <w:b/>
          <w:sz w:val="14"/>
          <w:szCs w:val="14"/>
          <w:lang w:val="fr-BE"/>
        </w:rPr>
      </w:pPr>
    </w:p>
    <w:p w:rsidR="00C432D5" w:rsidRDefault="00C432D5" w:rsidP="006A0561">
      <w:pPr>
        <w:spacing w:after="0"/>
        <w:jc w:val="both"/>
        <w:rPr>
          <w:b/>
          <w:sz w:val="14"/>
          <w:szCs w:val="14"/>
          <w:lang w:val="fr-BE"/>
        </w:rPr>
      </w:pPr>
    </w:p>
    <w:p w:rsidR="00C432D5" w:rsidRDefault="00C432D5" w:rsidP="006A0561">
      <w:pPr>
        <w:spacing w:after="0"/>
        <w:jc w:val="both"/>
        <w:rPr>
          <w:b/>
          <w:sz w:val="14"/>
          <w:szCs w:val="14"/>
          <w:lang w:val="fr-BE"/>
        </w:rPr>
      </w:pPr>
    </w:p>
    <w:p w:rsidR="00C432D5" w:rsidRDefault="00C432D5" w:rsidP="006A0561">
      <w:pPr>
        <w:spacing w:after="0"/>
        <w:jc w:val="both"/>
        <w:rPr>
          <w:b/>
          <w:sz w:val="14"/>
          <w:szCs w:val="14"/>
          <w:lang w:val="fr-BE"/>
        </w:rPr>
      </w:pPr>
    </w:p>
    <w:p w:rsidR="00C432D5" w:rsidRDefault="00C432D5" w:rsidP="006A0561">
      <w:pPr>
        <w:spacing w:after="0"/>
        <w:jc w:val="both"/>
        <w:rPr>
          <w:b/>
          <w:sz w:val="14"/>
          <w:szCs w:val="14"/>
          <w:lang w:val="fr-BE"/>
        </w:rPr>
      </w:pPr>
    </w:p>
    <w:p w:rsidR="00C432D5" w:rsidRDefault="00C432D5" w:rsidP="006A0561">
      <w:pPr>
        <w:spacing w:after="0"/>
        <w:jc w:val="both"/>
        <w:rPr>
          <w:b/>
          <w:sz w:val="14"/>
          <w:szCs w:val="14"/>
          <w:lang w:val="fr-BE"/>
        </w:rPr>
      </w:pPr>
    </w:p>
    <w:p w:rsidR="00C432D5" w:rsidRDefault="00C432D5" w:rsidP="006A0561">
      <w:pPr>
        <w:spacing w:after="0"/>
        <w:jc w:val="both"/>
        <w:rPr>
          <w:b/>
          <w:sz w:val="14"/>
          <w:szCs w:val="14"/>
          <w:lang w:val="fr-BE"/>
        </w:rPr>
      </w:pPr>
    </w:p>
    <w:p w:rsidR="00C432D5" w:rsidRDefault="00C432D5" w:rsidP="006A0561">
      <w:pPr>
        <w:spacing w:after="0"/>
        <w:jc w:val="both"/>
        <w:rPr>
          <w:b/>
          <w:sz w:val="14"/>
          <w:szCs w:val="14"/>
          <w:lang w:val="fr-BE"/>
        </w:rPr>
      </w:pPr>
    </w:p>
    <w:p w:rsidR="00C432D5" w:rsidRDefault="00C432D5" w:rsidP="006A0561">
      <w:pPr>
        <w:spacing w:after="0"/>
        <w:jc w:val="both"/>
        <w:rPr>
          <w:b/>
          <w:sz w:val="14"/>
          <w:szCs w:val="14"/>
          <w:lang w:val="fr-BE"/>
        </w:rPr>
      </w:pPr>
    </w:p>
    <w:p w:rsidR="00C432D5" w:rsidRDefault="00C432D5" w:rsidP="006A0561">
      <w:pPr>
        <w:spacing w:after="0"/>
        <w:jc w:val="both"/>
        <w:rPr>
          <w:b/>
          <w:sz w:val="14"/>
          <w:szCs w:val="14"/>
          <w:lang w:val="fr-BE"/>
        </w:rPr>
      </w:pPr>
    </w:p>
    <w:p w:rsidR="00C432D5" w:rsidRDefault="00C432D5" w:rsidP="006A0561">
      <w:pPr>
        <w:spacing w:after="0"/>
        <w:jc w:val="both"/>
        <w:rPr>
          <w:b/>
          <w:sz w:val="14"/>
          <w:szCs w:val="14"/>
          <w:lang w:val="fr-BE"/>
        </w:rPr>
      </w:pPr>
    </w:p>
    <w:p w:rsidR="00C432D5" w:rsidRDefault="00C432D5" w:rsidP="006A0561">
      <w:pPr>
        <w:spacing w:after="0"/>
        <w:jc w:val="both"/>
        <w:rPr>
          <w:b/>
          <w:sz w:val="14"/>
          <w:szCs w:val="14"/>
          <w:lang w:val="fr-BE"/>
        </w:rPr>
      </w:pPr>
    </w:p>
    <w:p w:rsidR="00C432D5" w:rsidRDefault="00C432D5" w:rsidP="006A0561">
      <w:pPr>
        <w:spacing w:after="0"/>
        <w:jc w:val="both"/>
        <w:rPr>
          <w:b/>
          <w:sz w:val="14"/>
          <w:szCs w:val="14"/>
          <w:lang w:val="fr-BE"/>
        </w:rPr>
      </w:pPr>
    </w:p>
    <w:p w:rsidR="00C432D5" w:rsidRDefault="00C432D5" w:rsidP="006A0561">
      <w:pPr>
        <w:spacing w:after="0"/>
        <w:jc w:val="both"/>
        <w:rPr>
          <w:b/>
          <w:sz w:val="14"/>
          <w:szCs w:val="14"/>
          <w:lang w:val="fr-BE"/>
        </w:rPr>
      </w:pPr>
    </w:p>
    <w:p w:rsidR="00C432D5" w:rsidRPr="006A0561" w:rsidRDefault="00C432D5" w:rsidP="006A0561">
      <w:pPr>
        <w:spacing w:after="0"/>
        <w:jc w:val="both"/>
        <w:rPr>
          <w:b/>
          <w:sz w:val="14"/>
          <w:szCs w:val="14"/>
          <w:lang w:val="fr-BE"/>
        </w:rPr>
      </w:pPr>
    </w:p>
    <w:p w:rsidR="00076EA9" w:rsidRDefault="00EA08D2" w:rsidP="00EB2410">
      <w:pPr>
        <w:pStyle w:val="Heading1"/>
        <w:numPr>
          <w:ilvl w:val="0"/>
          <w:numId w:val="2"/>
        </w:numPr>
        <w:rPr>
          <w:lang w:val="fr-FR"/>
        </w:rPr>
      </w:pPr>
      <w:bookmarkStart w:id="2" w:name="_Toc431453520"/>
      <w:r>
        <w:rPr>
          <w:lang w:val="fr-FR"/>
        </w:rPr>
        <w:t>C</w:t>
      </w:r>
      <w:r w:rsidR="00020AAA" w:rsidRPr="00020AAA">
        <w:rPr>
          <w:lang w:val="fr-FR"/>
        </w:rPr>
        <w:t xml:space="preserve">hiffre d’affaires </w:t>
      </w:r>
      <w:r w:rsidR="0026224A">
        <w:rPr>
          <w:lang w:val="fr-FR"/>
        </w:rPr>
        <w:t>et production</w:t>
      </w:r>
      <w:bookmarkEnd w:id="2"/>
    </w:p>
    <w:p w:rsidR="008E5EC1" w:rsidRDefault="00020AAA" w:rsidP="00846622">
      <w:pPr>
        <w:jc w:val="both"/>
        <w:rPr>
          <w:lang w:val="fr-FR"/>
        </w:rPr>
      </w:pPr>
      <w:r w:rsidRPr="00020AAA">
        <w:rPr>
          <w:lang w:val="fr-FR"/>
        </w:rPr>
        <w:t>Le chiffre d’affaire</w:t>
      </w:r>
      <w:r w:rsidR="00076EA9">
        <w:rPr>
          <w:lang w:val="fr-FR"/>
        </w:rPr>
        <w:t>s</w:t>
      </w:r>
      <w:r w:rsidR="00056B25">
        <w:rPr>
          <w:lang w:val="fr-FR"/>
        </w:rPr>
        <w:t xml:space="preserve"> </w:t>
      </w:r>
      <w:r w:rsidR="00336C95">
        <w:rPr>
          <w:lang w:val="fr-FR"/>
        </w:rPr>
        <w:t xml:space="preserve">de l’industrie alimentaire </w:t>
      </w:r>
      <w:r w:rsidR="00056B25">
        <w:rPr>
          <w:lang w:val="fr-FR"/>
        </w:rPr>
        <w:t xml:space="preserve">s’élevait à </w:t>
      </w:r>
      <w:r w:rsidR="00796DBF">
        <w:rPr>
          <w:lang w:val="fr-FR"/>
        </w:rPr>
        <w:t>8,2</w:t>
      </w:r>
      <w:r w:rsidRPr="00020AAA">
        <w:rPr>
          <w:lang w:val="fr-FR"/>
        </w:rPr>
        <w:t xml:space="preserve"> milliards d’euros</w:t>
      </w:r>
      <w:r w:rsidR="00056B25">
        <w:rPr>
          <w:lang w:val="fr-FR"/>
        </w:rPr>
        <w:t xml:space="preserve"> en 201</w:t>
      </w:r>
      <w:r w:rsidR="00796DBF">
        <w:rPr>
          <w:lang w:val="fr-FR"/>
        </w:rPr>
        <w:t>4</w:t>
      </w:r>
      <w:r w:rsidRPr="00020AAA">
        <w:rPr>
          <w:lang w:val="fr-FR"/>
        </w:rPr>
        <w:t>.</w:t>
      </w:r>
      <w:r w:rsidR="00325B85">
        <w:rPr>
          <w:rStyle w:val="FootnoteReference"/>
          <w:lang w:val="fr-FR"/>
        </w:rPr>
        <w:footnoteReference w:id="1"/>
      </w:r>
      <w:r w:rsidRPr="00020AAA">
        <w:rPr>
          <w:lang w:val="fr-FR"/>
        </w:rPr>
        <w:t xml:space="preserve"> </w:t>
      </w:r>
      <w:r>
        <w:rPr>
          <w:lang w:val="fr-FR"/>
        </w:rPr>
        <w:t xml:space="preserve"> Cela représente une </w:t>
      </w:r>
      <w:r w:rsidR="00796DBF">
        <w:rPr>
          <w:lang w:val="fr-FR"/>
        </w:rPr>
        <w:t xml:space="preserve">augmentation </w:t>
      </w:r>
      <w:r w:rsidR="00A95DF4">
        <w:rPr>
          <w:lang w:val="fr-FR"/>
        </w:rPr>
        <w:t xml:space="preserve">de </w:t>
      </w:r>
      <w:r w:rsidR="00796DBF">
        <w:rPr>
          <w:lang w:val="fr-FR"/>
        </w:rPr>
        <w:t>10,6</w:t>
      </w:r>
      <w:r w:rsidR="00076EA9">
        <w:rPr>
          <w:lang w:val="fr-FR"/>
        </w:rPr>
        <w:t xml:space="preserve">% </w:t>
      </w:r>
      <w:r w:rsidR="007141D5">
        <w:rPr>
          <w:lang w:val="fr-FR"/>
        </w:rPr>
        <w:t xml:space="preserve">par </w:t>
      </w:r>
      <w:r w:rsidR="00056B25">
        <w:rPr>
          <w:lang w:val="fr-FR"/>
        </w:rPr>
        <w:t>rapport à 201</w:t>
      </w:r>
      <w:r w:rsidR="00796DBF">
        <w:rPr>
          <w:lang w:val="fr-FR"/>
        </w:rPr>
        <w:t>3</w:t>
      </w:r>
      <w:r w:rsidR="00056B25">
        <w:rPr>
          <w:lang w:val="fr-FR"/>
        </w:rPr>
        <w:t>. La</w:t>
      </w:r>
      <w:r w:rsidR="00076EA9">
        <w:rPr>
          <w:lang w:val="fr-FR"/>
        </w:rPr>
        <w:t xml:space="preserve"> croissance </w:t>
      </w:r>
      <w:r w:rsidR="00056B25">
        <w:rPr>
          <w:lang w:val="fr-FR"/>
        </w:rPr>
        <w:t xml:space="preserve">de l’industrie alimentaire </w:t>
      </w:r>
      <w:r w:rsidR="00336C95">
        <w:rPr>
          <w:lang w:val="fr-FR"/>
        </w:rPr>
        <w:t>en 201</w:t>
      </w:r>
      <w:r w:rsidR="00796DBF">
        <w:rPr>
          <w:lang w:val="fr-FR"/>
        </w:rPr>
        <w:t>4</w:t>
      </w:r>
      <w:r w:rsidR="00336C95">
        <w:rPr>
          <w:lang w:val="fr-FR"/>
        </w:rPr>
        <w:t xml:space="preserve"> </w:t>
      </w:r>
      <w:r w:rsidR="00076EA9">
        <w:rPr>
          <w:lang w:val="fr-FR"/>
        </w:rPr>
        <w:t xml:space="preserve">est </w:t>
      </w:r>
      <w:r w:rsidR="008E5EC1">
        <w:rPr>
          <w:lang w:val="fr-FR"/>
        </w:rPr>
        <w:t>nettement plus</w:t>
      </w:r>
      <w:r w:rsidR="00076EA9">
        <w:rPr>
          <w:lang w:val="fr-FR"/>
        </w:rPr>
        <w:t xml:space="preserve"> forte que </w:t>
      </w:r>
      <w:r w:rsidR="00846622" w:rsidRPr="00846622">
        <w:rPr>
          <w:lang w:val="fr-FR"/>
        </w:rPr>
        <w:t>les autres secteurs</w:t>
      </w:r>
      <w:r w:rsidR="00846622">
        <w:rPr>
          <w:lang w:val="fr-FR"/>
        </w:rPr>
        <w:t xml:space="preserve"> ind</w:t>
      </w:r>
      <w:r w:rsidR="00076EA9">
        <w:rPr>
          <w:lang w:val="fr-FR"/>
        </w:rPr>
        <w:t>ustriels</w:t>
      </w:r>
      <w:r w:rsidR="00342A85">
        <w:rPr>
          <w:lang w:val="fr-FR"/>
        </w:rPr>
        <w:t xml:space="preserve"> en Wallonie</w:t>
      </w:r>
      <w:r w:rsidR="008E5EC1">
        <w:rPr>
          <w:lang w:val="fr-FR"/>
        </w:rPr>
        <w:t xml:space="preserve"> (</w:t>
      </w:r>
      <w:r w:rsidR="00796DBF">
        <w:rPr>
          <w:lang w:val="fr-FR"/>
        </w:rPr>
        <w:t>+6</w:t>
      </w:r>
      <w:r w:rsidR="00056B25">
        <w:rPr>
          <w:lang w:val="fr-FR"/>
        </w:rPr>
        <w:t>,</w:t>
      </w:r>
      <w:r w:rsidR="00796DBF">
        <w:rPr>
          <w:lang w:val="fr-FR"/>
        </w:rPr>
        <w:t>1</w:t>
      </w:r>
      <w:r w:rsidR="00076EA9">
        <w:rPr>
          <w:lang w:val="fr-FR"/>
        </w:rPr>
        <w:t>%)</w:t>
      </w:r>
      <w:r w:rsidR="00846622">
        <w:rPr>
          <w:lang w:val="fr-FR"/>
        </w:rPr>
        <w:t>.</w:t>
      </w:r>
      <w:r w:rsidR="00846622" w:rsidRPr="00846622">
        <w:rPr>
          <w:lang w:val="fr-FR"/>
        </w:rPr>
        <w:t xml:space="preserve"> </w:t>
      </w:r>
      <w:r>
        <w:rPr>
          <w:lang w:val="fr-FR"/>
        </w:rPr>
        <w:t xml:space="preserve"> </w:t>
      </w:r>
      <w:r w:rsidR="00FC548D">
        <w:rPr>
          <w:lang w:val="fr-FR"/>
        </w:rPr>
        <w:t>Sur</w:t>
      </w:r>
      <w:r w:rsidR="00336C95">
        <w:rPr>
          <w:lang w:val="fr-FR"/>
        </w:rPr>
        <w:t xml:space="preserve"> la période 2008-201</w:t>
      </w:r>
      <w:r w:rsidR="002E04AB">
        <w:rPr>
          <w:lang w:val="fr-FR"/>
        </w:rPr>
        <w:t>4</w:t>
      </w:r>
      <w:r w:rsidR="008E5EC1">
        <w:rPr>
          <w:lang w:val="fr-FR"/>
        </w:rPr>
        <w:t xml:space="preserve">, la croissance </w:t>
      </w:r>
      <w:r w:rsidR="002F40AB">
        <w:rPr>
          <w:lang w:val="fr-FR"/>
        </w:rPr>
        <w:t xml:space="preserve">du chiffre d’affaires </w:t>
      </w:r>
      <w:r w:rsidR="008E5EC1">
        <w:rPr>
          <w:lang w:val="fr-FR"/>
        </w:rPr>
        <w:t>s’</w:t>
      </w:r>
      <w:r w:rsidR="00FC548D">
        <w:rPr>
          <w:lang w:val="fr-FR"/>
        </w:rPr>
        <w:t xml:space="preserve">est </w:t>
      </w:r>
      <w:r w:rsidR="008E5EC1">
        <w:rPr>
          <w:lang w:val="fr-FR"/>
        </w:rPr>
        <w:t>él</w:t>
      </w:r>
      <w:r w:rsidR="00FC548D">
        <w:rPr>
          <w:lang w:val="fr-FR"/>
        </w:rPr>
        <w:t>e</w:t>
      </w:r>
      <w:r w:rsidR="008E5EC1">
        <w:rPr>
          <w:lang w:val="fr-FR"/>
        </w:rPr>
        <w:t>v</w:t>
      </w:r>
      <w:r w:rsidR="00FC548D">
        <w:rPr>
          <w:lang w:val="fr-FR"/>
        </w:rPr>
        <w:t>é</w:t>
      </w:r>
      <w:r w:rsidR="008E5EC1">
        <w:rPr>
          <w:lang w:val="fr-FR"/>
        </w:rPr>
        <w:t>e à</w:t>
      </w:r>
      <w:r w:rsidR="00336C95">
        <w:rPr>
          <w:lang w:val="fr-FR"/>
        </w:rPr>
        <w:t xml:space="preserve"> </w:t>
      </w:r>
      <w:r w:rsidR="002E04AB">
        <w:rPr>
          <w:lang w:val="fr-FR"/>
        </w:rPr>
        <w:t>23,3</w:t>
      </w:r>
      <w:r w:rsidR="008E5EC1">
        <w:rPr>
          <w:lang w:val="fr-FR"/>
        </w:rPr>
        <w:t xml:space="preserve">% dans l’industrie alimentaire </w:t>
      </w:r>
      <w:r w:rsidR="00FC548D">
        <w:rPr>
          <w:lang w:val="fr-FR"/>
        </w:rPr>
        <w:t xml:space="preserve">par rapport à une diminution de </w:t>
      </w:r>
      <w:r w:rsidR="008E5EC1">
        <w:rPr>
          <w:lang w:val="fr-FR"/>
        </w:rPr>
        <w:t xml:space="preserve"> </w:t>
      </w:r>
      <w:r w:rsidR="002E04AB">
        <w:rPr>
          <w:lang w:val="fr-FR"/>
        </w:rPr>
        <w:t>7,6</w:t>
      </w:r>
      <w:r w:rsidR="008E5EC1">
        <w:rPr>
          <w:lang w:val="fr-FR"/>
        </w:rPr>
        <w:t xml:space="preserve">% dans </w:t>
      </w:r>
      <w:r w:rsidR="00FC548D">
        <w:rPr>
          <w:lang w:val="fr-FR"/>
        </w:rPr>
        <w:t xml:space="preserve">l’ensemble </w:t>
      </w:r>
      <w:r w:rsidR="00336C95">
        <w:rPr>
          <w:lang w:val="fr-FR"/>
        </w:rPr>
        <w:t xml:space="preserve">de </w:t>
      </w:r>
      <w:r w:rsidR="008E5EC1">
        <w:rPr>
          <w:lang w:val="fr-FR"/>
        </w:rPr>
        <w:t>l’industrie manufacturière.</w:t>
      </w:r>
    </w:p>
    <w:p w:rsidR="008F542B" w:rsidRDefault="00C7072B" w:rsidP="006E5BBB">
      <w:pPr>
        <w:jc w:val="center"/>
        <w:rPr>
          <w:b/>
          <w:lang w:val="fr-FR"/>
        </w:rPr>
      </w:pPr>
      <w:r>
        <w:rPr>
          <w:noProof/>
          <w:lang w:eastAsia="nl-BE"/>
        </w:rPr>
        <w:lastRenderedPageBreak/>
        <w:drawing>
          <wp:inline distT="0" distB="0" distL="0" distR="0" wp14:anchorId="71D1784A" wp14:editId="0C0098C3">
            <wp:extent cx="5760000" cy="3240000"/>
            <wp:effectExtent l="0" t="0" r="12700" b="1778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B74534" w:rsidRDefault="00B74534" w:rsidP="008F542B">
      <w:pPr>
        <w:jc w:val="both"/>
        <w:rPr>
          <w:b/>
          <w:color w:val="000000" w:themeColor="text1"/>
          <w:sz w:val="18"/>
          <w:szCs w:val="18"/>
          <w:lang w:val="fr-FR"/>
        </w:rPr>
      </w:pPr>
      <w:r w:rsidRPr="00B74534">
        <w:rPr>
          <w:b/>
          <w:color w:val="000000" w:themeColor="text1"/>
          <w:sz w:val="18"/>
          <w:szCs w:val="18"/>
          <w:lang w:val="fr-FR"/>
        </w:rPr>
        <w:t xml:space="preserve">Source : </w:t>
      </w:r>
      <w:r w:rsidR="00165B6E">
        <w:rPr>
          <w:b/>
          <w:color w:val="000000" w:themeColor="text1"/>
          <w:sz w:val="18"/>
          <w:szCs w:val="18"/>
          <w:lang w:val="fr-FR"/>
        </w:rPr>
        <w:t>DGSIE (déclarations T.V.A.)</w:t>
      </w:r>
    </w:p>
    <w:p w:rsidR="00C43A9A" w:rsidRDefault="004C2C60" w:rsidP="00C43A9A">
      <w:pPr>
        <w:jc w:val="both"/>
        <w:rPr>
          <w:lang w:val="fr-FR"/>
        </w:rPr>
      </w:pPr>
      <w:r>
        <w:rPr>
          <w:lang w:val="fr-FR"/>
        </w:rPr>
        <w:t>En 201</w:t>
      </w:r>
      <w:r w:rsidR="002E04AB">
        <w:rPr>
          <w:lang w:val="fr-FR"/>
        </w:rPr>
        <w:t>4</w:t>
      </w:r>
      <w:r>
        <w:rPr>
          <w:lang w:val="fr-FR"/>
        </w:rPr>
        <w:t>, la</w:t>
      </w:r>
      <w:r w:rsidR="00C43A9A">
        <w:rPr>
          <w:lang w:val="fr-FR"/>
        </w:rPr>
        <w:t xml:space="preserve"> croissance de l’industrie alimentaire </w:t>
      </w:r>
      <w:r>
        <w:rPr>
          <w:lang w:val="fr-FR"/>
        </w:rPr>
        <w:t xml:space="preserve">wallonne </w:t>
      </w:r>
      <w:r w:rsidR="00C43A9A">
        <w:rPr>
          <w:lang w:val="fr-FR"/>
        </w:rPr>
        <w:t xml:space="preserve">est </w:t>
      </w:r>
      <w:r w:rsidR="002E04AB">
        <w:rPr>
          <w:lang w:val="fr-FR"/>
        </w:rPr>
        <w:t>plus</w:t>
      </w:r>
      <w:r>
        <w:rPr>
          <w:lang w:val="fr-FR"/>
        </w:rPr>
        <w:t xml:space="preserve"> forte</w:t>
      </w:r>
      <w:r w:rsidR="00C43A9A">
        <w:rPr>
          <w:lang w:val="fr-FR"/>
        </w:rPr>
        <w:t xml:space="preserve"> que </w:t>
      </w:r>
      <w:r>
        <w:rPr>
          <w:lang w:val="fr-FR"/>
        </w:rPr>
        <w:t xml:space="preserve">dans les pays-voisins (Fig. 2). </w:t>
      </w:r>
      <w:r w:rsidR="002E04AB">
        <w:rPr>
          <w:lang w:val="fr-FR"/>
        </w:rPr>
        <w:t>A</w:t>
      </w:r>
      <w:r w:rsidR="00FC548D">
        <w:rPr>
          <w:lang w:val="fr-FR"/>
        </w:rPr>
        <w:t xml:space="preserve">u cours de </w:t>
      </w:r>
      <w:r w:rsidR="00C43A9A">
        <w:rPr>
          <w:lang w:val="fr-FR"/>
        </w:rPr>
        <w:t>la période 2008-201</w:t>
      </w:r>
      <w:r w:rsidR="002E04AB">
        <w:rPr>
          <w:lang w:val="fr-FR"/>
        </w:rPr>
        <w:t>4</w:t>
      </w:r>
      <w:r w:rsidR="00C43A9A">
        <w:rPr>
          <w:lang w:val="fr-FR"/>
        </w:rPr>
        <w:t>, la croissance du chiffre d’affaires</w:t>
      </w:r>
      <w:r>
        <w:rPr>
          <w:lang w:val="fr-FR"/>
        </w:rPr>
        <w:t xml:space="preserve"> est</w:t>
      </w:r>
      <w:r w:rsidR="002E04AB">
        <w:rPr>
          <w:lang w:val="fr-FR"/>
        </w:rPr>
        <w:t xml:space="preserve"> clairement</w:t>
      </w:r>
      <w:r>
        <w:rPr>
          <w:lang w:val="fr-FR"/>
        </w:rPr>
        <w:t xml:space="preserve"> plus forte qu’en France, </w:t>
      </w:r>
      <w:r w:rsidR="00FC548D">
        <w:rPr>
          <w:lang w:val="fr-FR"/>
        </w:rPr>
        <w:t>aux</w:t>
      </w:r>
      <w:r>
        <w:rPr>
          <w:lang w:val="fr-FR"/>
        </w:rPr>
        <w:t xml:space="preserve"> Pays-Bas ou </w:t>
      </w:r>
      <w:r w:rsidR="00FC548D">
        <w:rPr>
          <w:lang w:val="fr-FR"/>
        </w:rPr>
        <w:t>en</w:t>
      </w:r>
      <w:r>
        <w:rPr>
          <w:lang w:val="fr-FR"/>
        </w:rPr>
        <w:t xml:space="preserve"> France.</w:t>
      </w:r>
    </w:p>
    <w:p w:rsidR="00C43A9A" w:rsidRPr="0026224A" w:rsidRDefault="004C2C60" w:rsidP="00C43A9A">
      <w:pPr>
        <w:jc w:val="both"/>
        <w:rPr>
          <w:color w:val="000000" w:themeColor="text1"/>
          <w:lang w:val="fr-FR"/>
        </w:rPr>
      </w:pPr>
      <w:r>
        <w:rPr>
          <w:color w:val="000000" w:themeColor="text1"/>
          <w:lang w:val="fr-FR"/>
        </w:rPr>
        <w:t>Selon les indices de production, l</w:t>
      </w:r>
      <w:r w:rsidR="00C43A9A" w:rsidRPr="0026224A">
        <w:rPr>
          <w:color w:val="000000" w:themeColor="text1"/>
          <w:lang w:val="fr-FR"/>
        </w:rPr>
        <w:t xml:space="preserve">a </w:t>
      </w:r>
      <w:r w:rsidR="00C43A9A">
        <w:rPr>
          <w:color w:val="000000" w:themeColor="text1"/>
          <w:lang w:val="fr-FR"/>
        </w:rPr>
        <w:t xml:space="preserve">production de l’industrie alimentaire </w:t>
      </w:r>
      <w:r w:rsidR="00FC548D">
        <w:rPr>
          <w:color w:val="000000" w:themeColor="text1"/>
          <w:lang w:val="fr-FR"/>
        </w:rPr>
        <w:t xml:space="preserve">a </w:t>
      </w:r>
      <w:r w:rsidR="00C43A9A">
        <w:rPr>
          <w:color w:val="000000" w:themeColor="text1"/>
          <w:lang w:val="fr-FR"/>
        </w:rPr>
        <w:t>cr</w:t>
      </w:r>
      <w:r w:rsidR="00FC548D">
        <w:rPr>
          <w:color w:val="000000" w:themeColor="text1"/>
          <w:lang w:val="fr-FR"/>
        </w:rPr>
        <w:t>û</w:t>
      </w:r>
      <w:r w:rsidR="00C43A9A">
        <w:rPr>
          <w:color w:val="000000" w:themeColor="text1"/>
          <w:lang w:val="fr-FR"/>
        </w:rPr>
        <w:t xml:space="preserve"> en 201</w:t>
      </w:r>
      <w:r w:rsidR="002E04AB">
        <w:rPr>
          <w:color w:val="000000" w:themeColor="text1"/>
          <w:lang w:val="fr-FR"/>
        </w:rPr>
        <w:t>4</w:t>
      </w:r>
      <w:r w:rsidR="00C43A9A">
        <w:rPr>
          <w:color w:val="000000" w:themeColor="text1"/>
          <w:lang w:val="fr-FR"/>
        </w:rPr>
        <w:t xml:space="preserve"> </w:t>
      </w:r>
      <w:r w:rsidR="00FC548D">
        <w:rPr>
          <w:color w:val="000000" w:themeColor="text1"/>
          <w:lang w:val="fr-FR"/>
        </w:rPr>
        <w:t>de</w:t>
      </w:r>
      <w:r w:rsidR="00BC0468">
        <w:rPr>
          <w:color w:val="000000" w:themeColor="text1"/>
          <w:lang w:val="fr-FR"/>
        </w:rPr>
        <w:t xml:space="preserve"> </w:t>
      </w:r>
      <w:r w:rsidR="002E04AB">
        <w:rPr>
          <w:color w:val="000000" w:themeColor="text1"/>
          <w:lang w:val="fr-FR"/>
        </w:rPr>
        <w:t>2,2</w:t>
      </w:r>
      <w:r w:rsidR="00C43A9A">
        <w:rPr>
          <w:color w:val="000000" w:themeColor="text1"/>
          <w:lang w:val="fr-FR"/>
        </w:rPr>
        <w:t xml:space="preserve">%. </w:t>
      </w:r>
      <w:r w:rsidR="00084E86">
        <w:rPr>
          <w:color w:val="000000" w:themeColor="text1"/>
          <w:lang w:val="fr-FR"/>
        </w:rPr>
        <w:t>A</w:t>
      </w:r>
      <w:r w:rsidR="00FC548D">
        <w:rPr>
          <w:color w:val="000000" w:themeColor="text1"/>
          <w:lang w:val="fr-FR"/>
        </w:rPr>
        <w:t xml:space="preserve">u cours de </w:t>
      </w:r>
      <w:r w:rsidR="00C43A9A">
        <w:rPr>
          <w:color w:val="000000" w:themeColor="text1"/>
          <w:lang w:val="fr-FR"/>
        </w:rPr>
        <w:t>la période 2008-201</w:t>
      </w:r>
      <w:r w:rsidR="002E04AB">
        <w:rPr>
          <w:color w:val="000000" w:themeColor="text1"/>
          <w:lang w:val="fr-FR"/>
        </w:rPr>
        <w:t>4</w:t>
      </w:r>
      <w:r w:rsidR="00C43A9A">
        <w:rPr>
          <w:color w:val="000000" w:themeColor="text1"/>
          <w:lang w:val="fr-FR"/>
        </w:rPr>
        <w:t xml:space="preserve">, la production de l’industrie alimentaire </w:t>
      </w:r>
      <w:r w:rsidR="00FC548D">
        <w:rPr>
          <w:color w:val="000000" w:themeColor="text1"/>
          <w:lang w:val="fr-FR"/>
        </w:rPr>
        <w:t xml:space="preserve">a crû de </w:t>
      </w:r>
      <w:r w:rsidR="002E04AB">
        <w:rPr>
          <w:color w:val="000000" w:themeColor="text1"/>
          <w:lang w:val="fr-FR"/>
        </w:rPr>
        <w:t>8,1</w:t>
      </w:r>
      <w:r w:rsidR="00C43A9A">
        <w:rPr>
          <w:color w:val="000000" w:themeColor="text1"/>
          <w:lang w:val="fr-FR"/>
        </w:rPr>
        <w:t xml:space="preserve">% </w:t>
      </w:r>
      <w:r w:rsidR="00FC548D">
        <w:rPr>
          <w:color w:val="000000" w:themeColor="text1"/>
          <w:lang w:val="fr-FR"/>
        </w:rPr>
        <w:t xml:space="preserve">contre </w:t>
      </w:r>
      <w:r w:rsidR="002E04AB">
        <w:rPr>
          <w:color w:val="000000" w:themeColor="text1"/>
          <w:lang w:val="fr-FR"/>
        </w:rPr>
        <w:t>6,5</w:t>
      </w:r>
      <w:r w:rsidR="00C43A9A">
        <w:rPr>
          <w:color w:val="000000" w:themeColor="text1"/>
          <w:lang w:val="fr-FR"/>
        </w:rPr>
        <w:t xml:space="preserve">% dans </w:t>
      </w:r>
      <w:r w:rsidR="00FC548D">
        <w:rPr>
          <w:color w:val="000000" w:themeColor="text1"/>
          <w:lang w:val="fr-FR"/>
        </w:rPr>
        <w:t xml:space="preserve">l’ensemble de </w:t>
      </w:r>
      <w:r w:rsidR="00C43A9A">
        <w:rPr>
          <w:color w:val="000000" w:themeColor="text1"/>
          <w:lang w:val="fr-FR"/>
        </w:rPr>
        <w:t xml:space="preserve">l’industrie manufacturière. </w:t>
      </w:r>
      <w:r w:rsidR="00FC548D">
        <w:rPr>
          <w:color w:val="000000" w:themeColor="text1"/>
          <w:lang w:val="fr-FR"/>
        </w:rPr>
        <w:t xml:space="preserve">Le rythme </w:t>
      </w:r>
      <w:r w:rsidR="00C43A9A">
        <w:rPr>
          <w:color w:val="000000" w:themeColor="text1"/>
          <w:lang w:val="fr-FR"/>
        </w:rPr>
        <w:t xml:space="preserve">de croissance (du chiffre d’affaires et de la production) est clairement plus stable dans l’industrie alimentaire que dans l’industrie manufacturière. </w:t>
      </w:r>
    </w:p>
    <w:p w:rsidR="00C43A9A" w:rsidRDefault="00C43A9A" w:rsidP="008F542B">
      <w:pPr>
        <w:jc w:val="both"/>
        <w:rPr>
          <w:b/>
          <w:color w:val="000000" w:themeColor="text1"/>
          <w:sz w:val="18"/>
          <w:szCs w:val="18"/>
          <w:lang w:val="fr-FR"/>
        </w:rPr>
      </w:pPr>
    </w:p>
    <w:p w:rsidR="009C50C5" w:rsidRDefault="00C7072B" w:rsidP="00C7072B">
      <w:pPr>
        <w:jc w:val="center"/>
        <w:rPr>
          <w:b/>
          <w:color w:val="000000" w:themeColor="text1"/>
          <w:lang w:val="fr-FR"/>
        </w:rPr>
      </w:pPr>
      <w:r>
        <w:rPr>
          <w:noProof/>
          <w:lang w:eastAsia="nl-BE"/>
        </w:rPr>
        <w:lastRenderedPageBreak/>
        <w:drawing>
          <wp:inline distT="0" distB="0" distL="0" distR="0" wp14:anchorId="0DF11748" wp14:editId="7516DF99">
            <wp:extent cx="5760000" cy="3240000"/>
            <wp:effectExtent l="0" t="0" r="12700" b="1778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43A9A" w:rsidRPr="00C43A9A" w:rsidRDefault="00C43A9A" w:rsidP="008F542B">
      <w:pPr>
        <w:jc w:val="both"/>
        <w:rPr>
          <w:b/>
          <w:color w:val="000000" w:themeColor="text1"/>
          <w:sz w:val="18"/>
          <w:szCs w:val="18"/>
          <w:lang w:val="fr-FR"/>
        </w:rPr>
      </w:pPr>
      <w:r w:rsidRPr="00B74534">
        <w:rPr>
          <w:b/>
          <w:color w:val="000000" w:themeColor="text1"/>
          <w:sz w:val="18"/>
          <w:szCs w:val="18"/>
          <w:lang w:val="fr-FR"/>
        </w:rPr>
        <w:t>Source : DGSIE</w:t>
      </w:r>
      <w:r w:rsidRPr="00C43A9A">
        <w:rPr>
          <w:b/>
          <w:color w:val="000000" w:themeColor="text1"/>
          <w:sz w:val="18"/>
          <w:szCs w:val="18"/>
          <w:lang w:val="fr-FR"/>
        </w:rPr>
        <w:t xml:space="preserve"> </w:t>
      </w:r>
      <w:r>
        <w:rPr>
          <w:b/>
          <w:color w:val="000000" w:themeColor="text1"/>
          <w:sz w:val="18"/>
          <w:szCs w:val="18"/>
          <w:lang w:val="fr-FR"/>
        </w:rPr>
        <w:t>(d</w:t>
      </w:r>
      <w:r w:rsidRPr="00B74534">
        <w:rPr>
          <w:b/>
          <w:color w:val="000000" w:themeColor="text1"/>
          <w:sz w:val="18"/>
          <w:szCs w:val="18"/>
          <w:lang w:val="fr-FR"/>
        </w:rPr>
        <w:t>éclarations T.V.A.</w:t>
      </w:r>
      <w:r>
        <w:rPr>
          <w:b/>
          <w:color w:val="000000" w:themeColor="text1"/>
          <w:sz w:val="18"/>
          <w:szCs w:val="18"/>
          <w:lang w:val="fr-FR"/>
        </w:rPr>
        <w:t>) et Eurostat (S</w:t>
      </w:r>
      <w:r w:rsidR="00586765">
        <w:rPr>
          <w:b/>
          <w:color w:val="000000" w:themeColor="text1"/>
          <w:sz w:val="18"/>
          <w:szCs w:val="18"/>
          <w:lang w:val="fr-FR"/>
        </w:rPr>
        <w:t>T</w:t>
      </w:r>
      <w:r>
        <w:rPr>
          <w:b/>
          <w:color w:val="000000" w:themeColor="text1"/>
          <w:sz w:val="18"/>
          <w:szCs w:val="18"/>
          <w:lang w:val="fr-FR"/>
        </w:rPr>
        <w:t>BS)</w:t>
      </w:r>
    </w:p>
    <w:p w:rsidR="007735EC" w:rsidRDefault="00C7072B" w:rsidP="0026224A">
      <w:pPr>
        <w:jc w:val="center"/>
        <w:rPr>
          <w:color w:val="000000" w:themeColor="text1"/>
          <w:lang w:val="fr-FR"/>
        </w:rPr>
      </w:pPr>
      <w:r>
        <w:rPr>
          <w:noProof/>
          <w:lang w:eastAsia="nl-BE"/>
        </w:rPr>
        <w:drawing>
          <wp:inline distT="0" distB="0" distL="0" distR="0" wp14:anchorId="098CE480" wp14:editId="7D26B5F9">
            <wp:extent cx="5760000" cy="3240000"/>
            <wp:effectExtent l="0" t="0" r="12700" b="1778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6224A" w:rsidRPr="0026224A" w:rsidRDefault="0026224A" w:rsidP="0026224A">
      <w:pPr>
        <w:rPr>
          <w:b/>
          <w:color w:val="000000" w:themeColor="text1"/>
          <w:sz w:val="18"/>
          <w:szCs w:val="18"/>
          <w:lang w:val="fr-FR"/>
        </w:rPr>
      </w:pPr>
      <w:r w:rsidRPr="0026224A">
        <w:rPr>
          <w:b/>
          <w:color w:val="000000" w:themeColor="text1"/>
          <w:sz w:val="18"/>
          <w:szCs w:val="18"/>
          <w:lang w:val="fr-FR"/>
        </w:rPr>
        <w:t>Source : Index de production, DGSIE</w:t>
      </w:r>
      <w:r>
        <w:rPr>
          <w:b/>
          <w:color w:val="000000" w:themeColor="text1"/>
          <w:sz w:val="18"/>
          <w:szCs w:val="18"/>
          <w:lang w:val="fr-FR"/>
        </w:rPr>
        <w:t xml:space="preserve"> (sur base des enquêtes PRODCOM)</w:t>
      </w:r>
    </w:p>
    <w:p w:rsidR="007735EC" w:rsidRDefault="007735EC" w:rsidP="001308A8">
      <w:pPr>
        <w:jc w:val="both"/>
        <w:rPr>
          <w:color w:val="000000" w:themeColor="text1"/>
          <w:lang w:val="fr-FR"/>
        </w:rPr>
      </w:pPr>
    </w:p>
    <w:p w:rsidR="007735EC" w:rsidRDefault="007735EC" w:rsidP="001308A8">
      <w:pPr>
        <w:jc w:val="both"/>
        <w:rPr>
          <w:color w:val="000000" w:themeColor="text1"/>
          <w:lang w:val="fr-FR"/>
        </w:rPr>
      </w:pPr>
    </w:p>
    <w:p w:rsidR="007735EC" w:rsidRDefault="007735EC" w:rsidP="001308A8">
      <w:pPr>
        <w:jc w:val="both"/>
        <w:rPr>
          <w:color w:val="000000" w:themeColor="text1"/>
          <w:lang w:val="fr-FR"/>
        </w:rPr>
      </w:pPr>
    </w:p>
    <w:p w:rsidR="00176EB6" w:rsidRDefault="00176EB6" w:rsidP="001308A8">
      <w:pPr>
        <w:jc w:val="both"/>
        <w:rPr>
          <w:color w:val="000000" w:themeColor="text1"/>
          <w:lang w:val="fr-FR"/>
        </w:rPr>
      </w:pPr>
    </w:p>
    <w:p w:rsidR="00723E9B" w:rsidRPr="00E3518D" w:rsidRDefault="00723E9B" w:rsidP="00120115">
      <w:pPr>
        <w:tabs>
          <w:tab w:val="left" w:pos="1320"/>
        </w:tabs>
        <w:rPr>
          <w:lang w:val="fr-FR"/>
        </w:rPr>
      </w:pPr>
    </w:p>
    <w:p w:rsidR="00E3518D" w:rsidRDefault="00E3518D" w:rsidP="00EB2410">
      <w:pPr>
        <w:pStyle w:val="Heading1"/>
        <w:numPr>
          <w:ilvl w:val="0"/>
          <w:numId w:val="2"/>
        </w:numPr>
        <w:rPr>
          <w:lang w:val="fr-FR"/>
        </w:rPr>
      </w:pPr>
      <w:bookmarkStart w:id="3" w:name="_Toc431453521"/>
      <w:r w:rsidRPr="00C72C04">
        <w:rPr>
          <w:lang w:val="fr-FR"/>
        </w:rPr>
        <w:lastRenderedPageBreak/>
        <w:t>Emploi</w:t>
      </w:r>
      <w:bookmarkEnd w:id="3"/>
      <w:r>
        <w:rPr>
          <w:lang w:val="fr-FR"/>
        </w:rPr>
        <w:t xml:space="preserve"> </w:t>
      </w:r>
    </w:p>
    <w:p w:rsidR="00E3518D" w:rsidRDefault="00694E60" w:rsidP="00E3518D">
      <w:pPr>
        <w:jc w:val="both"/>
        <w:rPr>
          <w:lang w:val="fr-FR"/>
        </w:rPr>
      </w:pPr>
      <w:r>
        <w:rPr>
          <w:lang w:val="fr-FR"/>
        </w:rPr>
        <w:t>En 201</w:t>
      </w:r>
      <w:r w:rsidR="002E04AB">
        <w:rPr>
          <w:lang w:val="fr-FR"/>
        </w:rPr>
        <w:t>4</w:t>
      </w:r>
      <w:r w:rsidR="00E3518D">
        <w:rPr>
          <w:lang w:val="fr-FR"/>
        </w:rPr>
        <w:t xml:space="preserve">, l’industrie </w:t>
      </w:r>
      <w:r w:rsidR="00E3518D" w:rsidRPr="00C72C04">
        <w:rPr>
          <w:lang w:val="fr-FR"/>
        </w:rPr>
        <w:t>a</w:t>
      </w:r>
      <w:r w:rsidR="00E3518D">
        <w:rPr>
          <w:lang w:val="fr-FR"/>
        </w:rPr>
        <w:t xml:space="preserve">limentaire wallonne occupait un </w:t>
      </w:r>
      <w:r w:rsidR="00F743A9">
        <w:rPr>
          <w:lang w:val="fr-FR"/>
        </w:rPr>
        <w:t>total de 20.</w:t>
      </w:r>
      <w:r w:rsidR="002E04AB">
        <w:rPr>
          <w:lang w:val="fr-FR"/>
        </w:rPr>
        <w:t>6</w:t>
      </w:r>
      <w:r w:rsidR="005C3B7F">
        <w:rPr>
          <w:lang w:val="fr-FR"/>
        </w:rPr>
        <w:t>97</w:t>
      </w:r>
      <w:r w:rsidR="001308A8">
        <w:rPr>
          <w:lang w:val="fr-FR"/>
        </w:rPr>
        <w:t xml:space="preserve"> salariés</w:t>
      </w:r>
      <w:r w:rsidR="002E04AB">
        <w:rPr>
          <w:lang w:val="fr-FR"/>
        </w:rPr>
        <w:t xml:space="preserve"> (estimation)</w:t>
      </w:r>
      <w:r w:rsidR="001308A8">
        <w:rPr>
          <w:lang w:val="fr-FR"/>
        </w:rPr>
        <w:t xml:space="preserve">. Cela représente une </w:t>
      </w:r>
      <w:r w:rsidR="00F743A9">
        <w:rPr>
          <w:lang w:val="fr-FR"/>
        </w:rPr>
        <w:t>diminution de 0,</w:t>
      </w:r>
      <w:r w:rsidR="002E04AB">
        <w:rPr>
          <w:lang w:val="fr-FR"/>
        </w:rPr>
        <w:t>1</w:t>
      </w:r>
      <w:r>
        <w:rPr>
          <w:lang w:val="fr-FR"/>
        </w:rPr>
        <w:t>% par rapport à 201</w:t>
      </w:r>
      <w:r w:rsidR="002E04AB">
        <w:rPr>
          <w:lang w:val="fr-FR"/>
        </w:rPr>
        <w:t>3</w:t>
      </w:r>
      <w:r>
        <w:rPr>
          <w:lang w:val="fr-FR"/>
        </w:rPr>
        <w:t xml:space="preserve">. </w:t>
      </w:r>
      <w:r w:rsidR="00191FEE">
        <w:rPr>
          <w:lang w:val="fr-FR"/>
        </w:rPr>
        <w:t xml:space="preserve">Au cours de </w:t>
      </w:r>
      <w:r>
        <w:rPr>
          <w:lang w:val="fr-FR"/>
        </w:rPr>
        <w:t>la période 2008-201</w:t>
      </w:r>
      <w:r w:rsidR="005C3B7F">
        <w:rPr>
          <w:lang w:val="fr-FR"/>
        </w:rPr>
        <w:t>4</w:t>
      </w:r>
      <w:r w:rsidR="001308A8">
        <w:rPr>
          <w:lang w:val="fr-FR"/>
        </w:rPr>
        <w:t xml:space="preserve">, </w:t>
      </w:r>
      <w:r w:rsidR="00F743A9">
        <w:rPr>
          <w:lang w:val="fr-FR"/>
        </w:rPr>
        <w:t xml:space="preserve">l’emploi </w:t>
      </w:r>
      <w:r w:rsidR="00191FEE">
        <w:rPr>
          <w:lang w:val="fr-FR"/>
        </w:rPr>
        <w:t xml:space="preserve">a </w:t>
      </w:r>
      <w:r w:rsidR="00F743A9">
        <w:rPr>
          <w:lang w:val="fr-FR"/>
        </w:rPr>
        <w:t xml:space="preserve">augmenté </w:t>
      </w:r>
      <w:r w:rsidR="00191FEE">
        <w:rPr>
          <w:lang w:val="fr-FR"/>
        </w:rPr>
        <w:t xml:space="preserve">de </w:t>
      </w:r>
      <w:r w:rsidR="002E04AB">
        <w:rPr>
          <w:lang w:val="fr-FR"/>
        </w:rPr>
        <w:t xml:space="preserve">presque </w:t>
      </w:r>
      <w:r w:rsidR="00F743A9">
        <w:rPr>
          <w:lang w:val="fr-FR"/>
        </w:rPr>
        <w:t>1</w:t>
      </w:r>
      <w:r w:rsidR="002F40AB">
        <w:rPr>
          <w:lang w:val="fr-FR"/>
        </w:rPr>
        <w:t xml:space="preserve">%. </w:t>
      </w:r>
      <w:r>
        <w:rPr>
          <w:lang w:val="fr-FR"/>
        </w:rPr>
        <w:t>L’</w:t>
      </w:r>
      <w:r w:rsidR="00C438A9">
        <w:rPr>
          <w:lang w:val="fr-FR"/>
        </w:rPr>
        <w:t>emploi</w:t>
      </w:r>
      <w:r>
        <w:rPr>
          <w:lang w:val="fr-FR"/>
        </w:rPr>
        <w:t xml:space="preserve"> dans l’industrie manufacturière a </w:t>
      </w:r>
      <w:r w:rsidR="00191FEE">
        <w:rPr>
          <w:lang w:val="fr-FR"/>
        </w:rPr>
        <w:t xml:space="preserve">lui </w:t>
      </w:r>
      <w:r>
        <w:rPr>
          <w:lang w:val="fr-FR"/>
        </w:rPr>
        <w:t xml:space="preserve">chuté </w:t>
      </w:r>
      <w:r w:rsidR="00191FEE">
        <w:rPr>
          <w:lang w:val="fr-FR"/>
        </w:rPr>
        <w:t xml:space="preserve">de </w:t>
      </w:r>
      <w:r>
        <w:rPr>
          <w:lang w:val="fr-FR"/>
        </w:rPr>
        <w:t>1</w:t>
      </w:r>
      <w:r w:rsidR="002E04AB">
        <w:rPr>
          <w:lang w:val="fr-FR"/>
        </w:rPr>
        <w:t>1</w:t>
      </w:r>
      <w:r>
        <w:rPr>
          <w:lang w:val="fr-FR"/>
        </w:rPr>
        <w:t>% pendant la période 2008-201</w:t>
      </w:r>
      <w:r w:rsidR="002E04AB">
        <w:rPr>
          <w:lang w:val="fr-FR"/>
        </w:rPr>
        <w:t>4</w:t>
      </w:r>
      <w:r>
        <w:rPr>
          <w:lang w:val="fr-FR"/>
        </w:rPr>
        <w:t xml:space="preserve">. </w:t>
      </w:r>
      <w:r w:rsidR="00E3518D" w:rsidRPr="00466812">
        <w:rPr>
          <w:lang w:val="fr-FR"/>
        </w:rPr>
        <w:t xml:space="preserve">L’industrie alimentaire se présente </w:t>
      </w:r>
      <w:r>
        <w:rPr>
          <w:lang w:val="fr-FR"/>
        </w:rPr>
        <w:t xml:space="preserve">donc </w:t>
      </w:r>
      <w:r w:rsidR="00C438A9">
        <w:rPr>
          <w:lang w:val="fr-FR"/>
        </w:rPr>
        <w:t>de plus en plus comme un des</w:t>
      </w:r>
      <w:r w:rsidR="00E3518D" w:rsidRPr="00466812">
        <w:rPr>
          <w:lang w:val="fr-FR"/>
        </w:rPr>
        <w:t xml:space="preserve"> piliers de l’emploi dans l’ensemble de l’industrie Wallonne. L’emploi dans l’industrie alimentair</w:t>
      </w:r>
      <w:r>
        <w:rPr>
          <w:lang w:val="fr-FR"/>
        </w:rPr>
        <w:t>e wallonne représente 16,</w:t>
      </w:r>
      <w:r w:rsidR="002E04AB">
        <w:rPr>
          <w:lang w:val="fr-FR"/>
        </w:rPr>
        <w:t>9</w:t>
      </w:r>
      <w:r w:rsidR="00E3518D" w:rsidRPr="00466812">
        <w:rPr>
          <w:lang w:val="fr-FR"/>
        </w:rPr>
        <w:t xml:space="preserve">% </w:t>
      </w:r>
      <w:r>
        <w:rPr>
          <w:lang w:val="fr-FR"/>
        </w:rPr>
        <w:t>de l’emploi industriel wallon.</w:t>
      </w:r>
    </w:p>
    <w:p w:rsidR="00E3518D" w:rsidRDefault="00C7072B" w:rsidP="00571353">
      <w:pPr>
        <w:jc w:val="center"/>
        <w:rPr>
          <w:lang w:val="fr-FR"/>
        </w:rPr>
      </w:pPr>
      <w:r>
        <w:rPr>
          <w:noProof/>
          <w:lang w:eastAsia="nl-BE"/>
        </w:rPr>
        <w:drawing>
          <wp:inline distT="0" distB="0" distL="0" distR="0" wp14:anchorId="3B2DD93A" wp14:editId="68F34994">
            <wp:extent cx="5760000" cy="3240000"/>
            <wp:effectExtent l="0" t="0" r="12700" b="1778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3518D" w:rsidRPr="0090304D" w:rsidRDefault="00E3518D" w:rsidP="0090304D">
      <w:pPr>
        <w:spacing w:line="240" w:lineRule="auto"/>
        <w:rPr>
          <w:rFonts w:ascii="Times New Roman" w:eastAsia="Times New Roman" w:hAnsi="Times New Roman" w:cs="Times New Roman"/>
          <w:b/>
          <w:sz w:val="18"/>
          <w:szCs w:val="18"/>
          <w:lang w:val="fr-FR" w:eastAsia="nl-BE"/>
        </w:rPr>
      </w:pPr>
      <w:r w:rsidRPr="008B4235">
        <w:rPr>
          <w:rFonts w:ascii="Calibri" w:eastAsiaTheme="minorEastAsia" w:hAnsi="Calibri"/>
          <w:b/>
          <w:color w:val="000000" w:themeColor="text1"/>
          <w:kern w:val="24"/>
          <w:sz w:val="18"/>
          <w:szCs w:val="18"/>
          <w:lang w:val="fr-FR" w:eastAsia="nl-BE"/>
        </w:rPr>
        <w:t>Source: ONSS (statistiques décentralisées)</w:t>
      </w:r>
    </w:p>
    <w:p w:rsidR="00C438A9" w:rsidRPr="00C438A9" w:rsidRDefault="00C438A9" w:rsidP="004E0C95">
      <w:pPr>
        <w:jc w:val="both"/>
        <w:rPr>
          <w:lang w:val="fr-BE"/>
        </w:rPr>
      </w:pPr>
      <w:r>
        <w:rPr>
          <w:lang w:val="fr-FR"/>
        </w:rPr>
        <w:t xml:space="preserve">Le </w:t>
      </w:r>
      <w:r w:rsidRPr="00C438A9">
        <w:rPr>
          <w:lang w:val="fr-FR"/>
        </w:rPr>
        <w:t>vieillissement</w:t>
      </w:r>
      <w:r>
        <w:rPr>
          <w:lang w:val="fr-FR"/>
        </w:rPr>
        <w:t xml:space="preserve">  a un impact </w:t>
      </w:r>
      <w:r w:rsidR="00191FEE">
        <w:rPr>
          <w:lang w:val="fr-FR"/>
        </w:rPr>
        <w:t xml:space="preserve">important </w:t>
      </w:r>
      <w:r>
        <w:rPr>
          <w:lang w:val="fr-FR"/>
        </w:rPr>
        <w:t>sur l’industrie</w:t>
      </w:r>
      <w:r w:rsidR="00F743A9">
        <w:rPr>
          <w:lang w:val="fr-FR"/>
        </w:rPr>
        <w:t xml:space="preserve"> alimentaire en Wallonie (fig. </w:t>
      </w:r>
      <w:r w:rsidR="00234987">
        <w:rPr>
          <w:lang w:val="fr-FR"/>
        </w:rPr>
        <w:t>5</w:t>
      </w:r>
      <w:r>
        <w:rPr>
          <w:lang w:val="fr-FR"/>
        </w:rPr>
        <w:t xml:space="preserve">). </w:t>
      </w:r>
      <w:r w:rsidRPr="00C438A9">
        <w:rPr>
          <w:lang w:val="fr-FR"/>
        </w:rPr>
        <w:t xml:space="preserve">Le nombre total </w:t>
      </w:r>
      <w:r w:rsidR="00191FEE">
        <w:rPr>
          <w:lang w:val="fr-FR"/>
        </w:rPr>
        <w:t>travailleurs</w:t>
      </w:r>
      <w:r w:rsidRPr="00C438A9">
        <w:rPr>
          <w:lang w:val="fr-FR"/>
        </w:rPr>
        <w:t xml:space="preserve"> reste </w:t>
      </w:r>
      <w:r>
        <w:rPr>
          <w:lang w:val="fr-FR"/>
        </w:rPr>
        <w:t>plus ou moins stable</w:t>
      </w:r>
      <w:r w:rsidRPr="00C438A9">
        <w:rPr>
          <w:lang w:val="fr-FR"/>
        </w:rPr>
        <w:t xml:space="preserve">, mais la proportion de personnes de </w:t>
      </w:r>
      <w:r w:rsidR="004E0C95">
        <w:rPr>
          <w:lang w:val="fr-FR"/>
        </w:rPr>
        <w:t>moins</w:t>
      </w:r>
      <w:r w:rsidRPr="00C438A9">
        <w:rPr>
          <w:lang w:val="fr-FR"/>
        </w:rPr>
        <w:t xml:space="preserve"> 50 </w:t>
      </w:r>
      <w:r>
        <w:rPr>
          <w:lang w:val="fr-FR"/>
        </w:rPr>
        <w:t xml:space="preserve">ans </w:t>
      </w:r>
      <w:r w:rsidR="00F743A9">
        <w:rPr>
          <w:lang w:val="fr-FR"/>
        </w:rPr>
        <w:t>est</w:t>
      </w:r>
      <w:r w:rsidRPr="00C438A9">
        <w:rPr>
          <w:lang w:val="fr-FR"/>
        </w:rPr>
        <w:t xml:space="preserve"> en </w:t>
      </w:r>
      <w:r w:rsidR="004E0C95">
        <w:rPr>
          <w:lang w:val="fr-FR"/>
        </w:rPr>
        <w:t>baisse</w:t>
      </w:r>
      <w:r w:rsidRPr="00C438A9">
        <w:rPr>
          <w:lang w:val="fr-FR"/>
        </w:rPr>
        <w:t>.</w:t>
      </w:r>
      <w:r w:rsidR="00042F32">
        <w:rPr>
          <w:lang w:val="fr-FR"/>
        </w:rPr>
        <w:t xml:space="preserve"> </w:t>
      </w:r>
      <w:r w:rsidR="00042F32" w:rsidRPr="00C438A9">
        <w:rPr>
          <w:lang w:val="fr-FR"/>
        </w:rPr>
        <w:t xml:space="preserve">Au cours des 5 à 10 </w:t>
      </w:r>
      <w:r w:rsidR="00191FEE">
        <w:rPr>
          <w:lang w:val="fr-FR"/>
        </w:rPr>
        <w:t xml:space="preserve">prochaines </w:t>
      </w:r>
      <w:r w:rsidR="00042F32" w:rsidRPr="00C438A9">
        <w:rPr>
          <w:lang w:val="fr-FR"/>
        </w:rPr>
        <w:t xml:space="preserve">années, une grande proportion de personnes de plus de 50 </w:t>
      </w:r>
      <w:r w:rsidR="00042F32">
        <w:rPr>
          <w:lang w:val="fr-FR"/>
        </w:rPr>
        <w:t>ans prendr</w:t>
      </w:r>
      <w:r w:rsidR="00084E86">
        <w:rPr>
          <w:lang w:val="fr-FR"/>
        </w:rPr>
        <w:t>a</w:t>
      </w:r>
      <w:r w:rsidR="00042F32">
        <w:rPr>
          <w:lang w:val="fr-FR"/>
        </w:rPr>
        <w:t xml:space="preserve"> </w:t>
      </w:r>
      <w:r w:rsidR="00084E86">
        <w:rPr>
          <w:lang w:val="fr-FR"/>
        </w:rPr>
        <w:t>sa</w:t>
      </w:r>
      <w:r w:rsidR="00ED3F52">
        <w:rPr>
          <w:lang w:val="fr-FR"/>
        </w:rPr>
        <w:t xml:space="preserve"> </w:t>
      </w:r>
      <w:r w:rsidR="00042F32">
        <w:rPr>
          <w:lang w:val="fr-FR"/>
        </w:rPr>
        <w:t>retraite.</w:t>
      </w:r>
      <w:r w:rsidRPr="00C438A9">
        <w:rPr>
          <w:lang w:val="fr-FR"/>
        </w:rPr>
        <w:t xml:space="preserve"> Trouver </w:t>
      </w:r>
      <w:r w:rsidR="00042F32">
        <w:rPr>
          <w:lang w:val="fr-FR"/>
        </w:rPr>
        <w:t xml:space="preserve">de </w:t>
      </w:r>
      <w:r w:rsidR="00191FEE">
        <w:rPr>
          <w:lang w:val="fr-FR"/>
        </w:rPr>
        <w:t xml:space="preserve">la </w:t>
      </w:r>
      <w:r w:rsidR="00042F32" w:rsidRPr="00C438A9">
        <w:rPr>
          <w:lang w:val="fr-FR"/>
        </w:rPr>
        <w:t>main-d’œuvre</w:t>
      </w:r>
      <w:r w:rsidRPr="00C438A9">
        <w:rPr>
          <w:lang w:val="fr-FR"/>
        </w:rPr>
        <w:t xml:space="preserve"> jeune</w:t>
      </w:r>
      <w:r w:rsidR="00042F32">
        <w:rPr>
          <w:lang w:val="fr-FR"/>
        </w:rPr>
        <w:t xml:space="preserve"> et bien qualifié</w:t>
      </w:r>
      <w:r w:rsidR="00191FEE">
        <w:rPr>
          <w:lang w:val="fr-FR"/>
        </w:rPr>
        <w:t>e</w:t>
      </w:r>
      <w:r w:rsidRPr="00C438A9">
        <w:rPr>
          <w:lang w:val="fr-FR"/>
        </w:rPr>
        <w:t xml:space="preserve"> est donc une priorité pour l</w:t>
      </w:r>
      <w:r w:rsidR="00F743A9">
        <w:rPr>
          <w:lang w:val="fr-FR"/>
        </w:rPr>
        <w:t>’industrie alimentaire w</w:t>
      </w:r>
      <w:r w:rsidR="00042F32">
        <w:rPr>
          <w:lang w:val="fr-FR"/>
        </w:rPr>
        <w:t>allonne.</w:t>
      </w:r>
    </w:p>
    <w:p w:rsidR="00C438A9" w:rsidRPr="00C438A9" w:rsidRDefault="00C438A9" w:rsidP="00E3518D">
      <w:pPr>
        <w:rPr>
          <w:lang w:val="fr-BE"/>
        </w:rPr>
      </w:pPr>
    </w:p>
    <w:p w:rsidR="00C438A9" w:rsidRPr="00C438A9" w:rsidRDefault="00C438A9" w:rsidP="00E3518D">
      <w:pPr>
        <w:rPr>
          <w:lang w:val="fr-BE"/>
        </w:rPr>
      </w:pPr>
    </w:p>
    <w:p w:rsidR="00E3518D" w:rsidRDefault="00C7072B" w:rsidP="00C438A9">
      <w:pPr>
        <w:jc w:val="center"/>
        <w:rPr>
          <w:b/>
          <w:lang w:val="fr-FR"/>
        </w:rPr>
      </w:pPr>
      <w:r>
        <w:rPr>
          <w:noProof/>
          <w:lang w:eastAsia="nl-BE"/>
        </w:rPr>
        <w:lastRenderedPageBreak/>
        <w:drawing>
          <wp:inline distT="0" distB="0" distL="0" distR="0" wp14:anchorId="585AA5DB" wp14:editId="28999C66">
            <wp:extent cx="5760000" cy="3240000"/>
            <wp:effectExtent l="0" t="0" r="12700" b="1778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438A9" w:rsidRDefault="00C438A9" w:rsidP="00C438A9">
      <w:pPr>
        <w:rPr>
          <w:b/>
          <w:sz w:val="18"/>
          <w:szCs w:val="18"/>
          <w:lang w:val="fr-FR"/>
        </w:rPr>
      </w:pPr>
      <w:r w:rsidRPr="00C438A9">
        <w:rPr>
          <w:b/>
          <w:sz w:val="18"/>
          <w:szCs w:val="18"/>
          <w:lang w:val="fr-FR"/>
        </w:rPr>
        <w:t>Source : WSE (donnés par Commissions Paritaires 118 et 220)</w:t>
      </w:r>
    </w:p>
    <w:p w:rsidR="00900813" w:rsidRPr="00AB562A" w:rsidRDefault="00900813" w:rsidP="00141198">
      <w:pPr>
        <w:jc w:val="both"/>
        <w:rPr>
          <w:lang w:val="fr-BE"/>
        </w:rPr>
      </w:pPr>
      <w:r w:rsidRPr="00AB562A">
        <w:rPr>
          <w:lang w:val="fr-BE"/>
        </w:rPr>
        <w:t>Selon la dernière enquête s</w:t>
      </w:r>
      <w:r w:rsidR="00141198" w:rsidRPr="00AB562A">
        <w:rPr>
          <w:lang w:val="fr-BE"/>
        </w:rPr>
        <w:t xml:space="preserve">ur les </w:t>
      </w:r>
      <w:r w:rsidR="00ED3F52" w:rsidRPr="00AB562A">
        <w:rPr>
          <w:lang w:val="fr-BE"/>
        </w:rPr>
        <w:t>emplois</w:t>
      </w:r>
      <w:r w:rsidR="00141198" w:rsidRPr="00AB562A">
        <w:rPr>
          <w:lang w:val="fr-BE"/>
        </w:rPr>
        <w:t xml:space="preserve"> de 2013, 31,2</w:t>
      </w:r>
      <w:r w:rsidRPr="00AB562A">
        <w:rPr>
          <w:lang w:val="fr-BE"/>
        </w:rPr>
        <w:t>% des travailleurs de l'industrie alimentaire sont peu qualifiés</w:t>
      </w:r>
      <w:r w:rsidR="00141198" w:rsidRPr="00AB562A">
        <w:rPr>
          <w:lang w:val="fr-BE"/>
        </w:rPr>
        <w:t>,</w:t>
      </w:r>
      <w:r w:rsidRPr="00AB562A">
        <w:rPr>
          <w:lang w:val="fr-BE"/>
        </w:rPr>
        <w:t xml:space="preserve"> </w:t>
      </w:r>
      <w:r w:rsidR="00141198" w:rsidRPr="00AB562A">
        <w:rPr>
          <w:lang w:val="fr-BE"/>
        </w:rPr>
        <w:t>47,6</w:t>
      </w:r>
      <w:r w:rsidRPr="00AB562A">
        <w:rPr>
          <w:lang w:val="fr-BE"/>
        </w:rPr>
        <w:t xml:space="preserve"> % des travailleurs sont moyennement qualifiés </w:t>
      </w:r>
      <w:r w:rsidR="00141198" w:rsidRPr="00AB562A">
        <w:rPr>
          <w:lang w:val="fr-BE"/>
        </w:rPr>
        <w:t xml:space="preserve">et 21,3% ont un diplôme de l'enseignement supérieur (fig. </w:t>
      </w:r>
      <w:r w:rsidR="00234987">
        <w:rPr>
          <w:lang w:val="fr-BE"/>
        </w:rPr>
        <w:t>6</w:t>
      </w:r>
      <w:r w:rsidR="00141198" w:rsidRPr="00AB562A">
        <w:rPr>
          <w:lang w:val="fr-BE"/>
        </w:rPr>
        <w:t>). Le graphique met en outre en évidence la nette diminution de la part des travailleurs peu qualifiés (formation primaire ou secondaire inférieur) durant la période 2000-2013 au profit des travailleurs disposant d’un diplôme de secondaire supérieur.</w:t>
      </w:r>
    </w:p>
    <w:p w:rsidR="00141198" w:rsidRPr="00AB562A" w:rsidRDefault="00141198" w:rsidP="004D6CC9">
      <w:pPr>
        <w:jc w:val="both"/>
        <w:rPr>
          <w:lang w:val="fr-BE"/>
        </w:rPr>
      </w:pPr>
      <w:r w:rsidRPr="00AB562A">
        <w:rPr>
          <w:lang w:val="fr-BE"/>
        </w:rPr>
        <w:t>Un écart important demeure toutefois entre le niveau de qualification de l'industrie alimentaire et celui du reste de l'industrie et de l'ensemble du secteur privé. L'industrie alimentaire est donc un secteur qui emploie un nombre relativement élevé de peu qualifiés. Il apparaît aussi clairement que les secteurs non industriels emploient proportionnellement beaucoup plus de travailleurs très qualifiés que les secteurs industriels.</w:t>
      </w:r>
    </w:p>
    <w:p w:rsidR="00141198" w:rsidRDefault="00141198" w:rsidP="004D6CC9">
      <w:pPr>
        <w:jc w:val="both"/>
        <w:rPr>
          <w:lang w:val="fr-BE"/>
        </w:rPr>
      </w:pPr>
      <w:r w:rsidRPr="00AB562A">
        <w:rPr>
          <w:lang w:val="fr-BE"/>
        </w:rPr>
        <w:t>L’industrie alimentaire, avec un emploi stable pendant la crise de 2009, fonctionne</w:t>
      </w:r>
      <w:r w:rsidR="00ED3F52" w:rsidRPr="00AB562A">
        <w:rPr>
          <w:lang w:val="fr-BE"/>
        </w:rPr>
        <w:t xml:space="preserve"> donc comme tampon pour les peu qualifiés.</w:t>
      </w:r>
    </w:p>
    <w:p w:rsidR="007F74A1" w:rsidRPr="00141198" w:rsidRDefault="00C7072B" w:rsidP="004D6CC9">
      <w:pPr>
        <w:jc w:val="both"/>
        <w:rPr>
          <w:lang w:val="fr-BE"/>
        </w:rPr>
      </w:pPr>
      <w:r>
        <w:rPr>
          <w:noProof/>
          <w:lang w:eastAsia="nl-BE"/>
        </w:rPr>
        <w:lastRenderedPageBreak/>
        <w:drawing>
          <wp:inline distT="0" distB="0" distL="0" distR="0" wp14:anchorId="2811C6BA" wp14:editId="4D01A6F6">
            <wp:extent cx="5760000" cy="3240000"/>
            <wp:effectExtent l="0" t="0" r="12700" b="1778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737E0" w:rsidRPr="00141198" w:rsidRDefault="003737E0" w:rsidP="004D6CC9">
      <w:pPr>
        <w:jc w:val="both"/>
        <w:rPr>
          <w:b/>
          <w:color w:val="000000" w:themeColor="text1"/>
          <w:sz w:val="18"/>
          <w:szCs w:val="18"/>
          <w:lang w:val="fr-FR"/>
        </w:rPr>
      </w:pPr>
      <w:r w:rsidRPr="00B74534">
        <w:rPr>
          <w:b/>
          <w:color w:val="000000" w:themeColor="text1"/>
          <w:sz w:val="18"/>
          <w:szCs w:val="18"/>
          <w:lang w:val="fr-FR"/>
        </w:rPr>
        <w:t>Source :</w:t>
      </w:r>
      <w:r>
        <w:rPr>
          <w:b/>
          <w:color w:val="000000" w:themeColor="text1"/>
          <w:sz w:val="18"/>
          <w:szCs w:val="18"/>
          <w:lang w:val="fr-FR"/>
        </w:rPr>
        <w:t xml:space="preserve"> CCE et</w:t>
      </w:r>
      <w:r w:rsidRPr="00B74534">
        <w:rPr>
          <w:b/>
          <w:color w:val="000000" w:themeColor="text1"/>
          <w:sz w:val="18"/>
          <w:szCs w:val="18"/>
          <w:lang w:val="fr-FR"/>
        </w:rPr>
        <w:t xml:space="preserve"> </w:t>
      </w:r>
      <w:r>
        <w:rPr>
          <w:b/>
          <w:color w:val="000000" w:themeColor="text1"/>
          <w:sz w:val="18"/>
          <w:szCs w:val="18"/>
          <w:lang w:val="fr-FR"/>
        </w:rPr>
        <w:t>DGSIE (</w:t>
      </w:r>
      <w:r w:rsidRPr="003737E0">
        <w:rPr>
          <w:b/>
          <w:color w:val="000000" w:themeColor="text1"/>
          <w:sz w:val="18"/>
          <w:szCs w:val="18"/>
          <w:lang w:val="fr-FR"/>
        </w:rPr>
        <w:t>enquête sur les forces de travail</w:t>
      </w:r>
      <w:r>
        <w:rPr>
          <w:b/>
          <w:color w:val="000000" w:themeColor="text1"/>
          <w:sz w:val="18"/>
          <w:szCs w:val="18"/>
          <w:lang w:val="fr-FR"/>
        </w:rPr>
        <w:t>)</w:t>
      </w:r>
    </w:p>
    <w:p w:rsidR="00E3518D" w:rsidRDefault="00804A6F" w:rsidP="004D6CC9">
      <w:pPr>
        <w:jc w:val="center"/>
        <w:rPr>
          <w:b/>
          <w:lang w:val="fr-FR"/>
        </w:rPr>
      </w:pPr>
      <w:r>
        <w:rPr>
          <w:noProof/>
          <w:lang w:eastAsia="nl-BE"/>
        </w:rPr>
        <w:drawing>
          <wp:inline distT="0" distB="0" distL="0" distR="0" wp14:anchorId="536EF997" wp14:editId="636A07F8">
            <wp:extent cx="5760000" cy="3240000"/>
            <wp:effectExtent l="0" t="0" r="12700" b="1778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3518D" w:rsidRDefault="00A53E2E" w:rsidP="0090304D">
      <w:pPr>
        <w:spacing w:line="240" w:lineRule="auto"/>
        <w:rPr>
          <w:rFonts w:ascii="Calibri" w:eastAsiaTheme="minorEastAsia" w:hAnsi="Calibri"/>
          <w:b/>
          <w:color w:val="000000" w:themeColor="text1"/>
          <w:kern w:val="24"/>
          <w:sz w:val="18"/>
          <w:szCs w:val="18"/>
          <w:lang w:val="fr-FR" w:eastAsia="nl-BE"/>
        </w:rPr>
      </w:pPr>
      <w:r w:rsidRPr="008B4235">
        <w:rPr>
          <w:rFonts w:ascii="Calibri" w:eastAsiaTheme="minorEastAsia" w:hAnsi="Calibri"/>
          <w:b/>
          <w:color w:val="000000" w:themeColor="text1"/>
          <w:kern w:val="24"/>
          <w:sz w:val="18"/>
          <w:szCs w:val="18"/>
          <w:lang w:val="fr-FR" w:eastAsia="nl-BE"/>
        </w:rPr>
        <w:t>Source: ONSS (statistiques décentralisées</w:t>
      </w:r>
      <w:r w:rsidR="007271DD">
        <w:rPr>
          <w:rFonts w:ascii="Calibri" w:eastAsiaTheme="minorEastAsia" w:hAnsi="Calibri"/>
          <w:b/>
          <w:color w:val="000000" w:themeColor="text1"/>
          <w:kern w:val="24"/>
          <w:sz w:val="18"/>
          <w:szCs w:val="18"/>
          <w:lang w:val="fr-FR" w:eastAsia="nl-BE"/>
        </w:rPr>
        <w:t>)</w:t>
      </w:r>
    </w:p>
    <w:p w:rsidR="007F74A1" w:rsidRPr="00141198" w:rsidRDefault="007F74A1" w:rsidP="00141198">
      <w:pPr>
        <w:jc w:val="both"/>
        <w:rPr>
          <w:lang w:val="fr-FR"/>
        </w:rPr>
      </w:pPr>
      <w:r w:rsidRPr="00466812">
        <w:rPr>
          <w:lang w:val="fr-FR"/>
        </w:rPr>
        <w:t xml:space="preserve">Dans le tableau ci-dessus, les sous-secteurs </w:t>
      </w:r>
      <w:r>
        <w:rPr>
          <w:lang w:val="fr-FR"/>
        </w:rPr>
        <w:t xml:space="preserve">de l’industrie alimentaire </w:t>
      </w:r>
      <w:r w:rsidRPr="00466812">
        <w:rPr>
          <w:lang w:val="fr-FR"/>
        </w:rPr>
        <w:t xml:space="preserve">sont classés par ordre d'importance </w:t>
      </w:r>
      <w:r>
        <w:rPr>
          <w:lang w:val="fr-FR"/>
        </w:rPr>
        <w:t>(</w:t>
      </w:r>
      <w:r w:rsidRPr="00466812">
        <w:rPr>
          <w:lang w:val="fr-FR"/>
        </w:rPr>
        <w:t>selon l’</w:t>
      </w:r>
      <w:r>
        <w:rPr>
          <w:lang w:val="fr-FR"/>
        </w:rPr>
        <w:t>emploi dans le secteur). Les six</w:t>
      </w:r>
      <w:r w:rsidRPr="00466812">
        <w:rPr>
          <w:lang w:val="fr-FR"/>
        </w:rPr>
        <w:t xml:space="preserve"> plus grands secteurs, à savoir les boulangeries et p</w:t>
      </w:r>
      <w:r>
        <w:rPr>
          <w:lang w:val="fr-FR"/>
        </w:rPr>
        <w:t>âtisseries</w:t>
      </w:r>
      <w:r w:rsidRPr="00466812">
        <w:rPr>
          <w:lang w:val="fr-FR"/>
        </w:rPr>
        <w:t>, la fabrication d</w:t>
      </w:r>
      <w:r>
        <w:rPr>
          <w:lang w:val="fr-FR"/>
        </w:rPr>
        <w:t>’autres denrées alimentaires (e.a. le chocolat, le sucre, café et thé, les plats préparés,…)</w:t>
      </w:r>
      <w:r w:rsidRPr="00466812">
        <w:rPr>
          <w:lang w:val="fr-FR"/>
        </w:rPr>
        <w:t>,</w:t>
      </w:r>
      <w:r>
        <w:rPr>
          <w:lang w:val="fr-FR"/>
        </w:rPr>
        <w:t xml:space="preserve"> la viande, les fruits et légumes,</w:t>
      </w:r>
      <w:r w:rsidRPr="00466812">
        <w:rPr>
          <w:lang w:val="fr-FR"/>
        </w:rPr>
        <w:t xml:space="preserve"> la fabrication de boissons,</w:t>
      </w:r>
      <w:r>
        <w:rPr>
          <w:lang w:val="fr-FR"/>
        </w:rPr>
        <w:t xml:space="preserve"> et l’industrie laitière représentent 95</w:t>
      </w:r>
      <w:r w:rsidRPr="00466812">
        <w:rPr>
          <w:lang w:val="fr-FR"/>
        </w:rPr>
        <w:t xml:space="preserve"> % de l'emploi dans l'industrie alimentaire.</w:t>
      </w:r>
    </w:p>
    <w:p w:rsidR="007F74A1" w:rsidRDefault="007F74A1" w:rsidP="0090304D">
      <w:pPr>
        <w:spacing w:line="240" w:lineRule="auto"/>
        <w:rPr>
          <w:rFonts w:ascii="Calibri" w:eastAsiaTheme="minorEastAsia" w:hAnsi="Calibri"/>
          <w:b/>
          <w:color w:val="000000" w:themeColor="text1"/>
          <w:kern w:val="24"/>
          <w:sz w:val="18"/>
          <w:szCs w:val="18"/>
          <w:lang w:val="fr-FR" w:eastAsia="nl-BE"/>
        </w:rPr>
      </w:pPr>
    </w:p>
    <w:p w:rsidR="007F74A1" w:rsidRPr="0090304D" w:rsidRDefault="007F74A1" w:rsidP="0090304D">
      <w:pPr>
        <w:spacing w:line="240" w:lineRule="auto"/>
        <w:rPr>
          <w:rFonts w:ascii="Times New Roman" w:eastAsia="Times New Roman" w:hAnsi="Times New Roman" w:cs="Times New Roman"/>
          <w:b/>
          <w:sz w:val="18"/>
          <w:szCs w:val="18"/>
          <w:lang w:val="fr-FR" w:eastAsia="nl-BE"/>
        </w:rPr>
      </w:pPr>
    </w:p>
    <w:p w:rsidR="00723E9B" w:rsidRDefault="00723E9B" w:rsidP="00EB2410">
      <w:pPr>
        <w:pStyle w:val="Heading1"/>
        <w:numPr>
          <w:ilvl w:val="0"/>
          <w:numId w:val="2"/>
        </w:numPr>
        <w:rPr>
          <w:lang w:val="fr-FR"/>
        </w:rPr>
      </w:pPr>
      <w:bookmarkStart w:id="4" w:name="_Toc431453522"/>
      <w:r>
        <w:rPr>
          <w:lang w:val="fr-FR"/>
        </w:rPr>
        <w:lastRenderedPageBreak/>
        <w:t>Employeurs</w:t>
      </w:r>
      <w:bookmarkEnd w:id="4"/>
    </w:p>
    <w:p w:rsidR="00723E9B" w:rsidRDefault="00493CBA" w:rsidP="00FF7118">
      <w:pPr>
        <w:jc w:val="both"/>
        <w:rPr>
          <w:lang w:val="fr-FR"/>
        </w:rPr>
      </w:pPr>
      <w:r w:rsidRPr="00493CBA">
        <w:rPr>
          <w:lang w:val="fr-FR"/>
        </w:rPr>
        <w:t xml:space="preserve">L’industrie alimentaire wallonne est un véritable secteur </w:t>
      </w:r>
      <w:r w:rsidR="00191FEE">
        <w:rPr>
          <w:lang w:val="fr-FR"/>
        </w:rPr>
        <w:t xml:space="preserve">de </w:t>
      </w:r>
      <w:r w:rsidRPr="00493CBA">
        <w:rPr>
          <w:lang w:val="fr-FR"/>
        </w:rPr>
        <w:t xml:space="preserve">PME. </w:t>
      </w:r>
      <w:r w:rsidR="00F743A9">
        <w:rPr>
          <w:lang w:val="fr-FR"/>
        </w:rPr>
        <w:t xml:space="preserve">En 2013, presque </w:t>
      </w:r>
      <w:r w:rsidR="00967640">
        <w:rPr>
          <w:lang w:val="fr-FR"/>
        </w:rPr>
        <w:t>60</w:t>
      </w:r>
      <w:r w:rsidR="00A96010">
        <w:rPr>
          <w:lang w:val="fr-FR"/>
        </w:rPr>
        <w:t xml:space="preserve">% </w:t>
      </w:r>
      <w:r w:rsidR="00191FEE">
        <w:rPr>
          <w:lang w:val="fr-FR"/>
        </w:rPr>
        <w:t xml:space="preserve">des entreprises de </w:t>
      </w:r>
      <w:r w:rsidR="00A96010">
        <w:rPr>
          <w:lang w:val="fr-FR"/>
        </w:rPr>
        <w:t xml:space="preserve">l’industrie </w:t>
      </w:r>
      <w:r w:rsidR="00F743A9">
        <w:rPr>
          <w:lang w:val="fr-FR"/>
        </w:rPr>
        <w:t>alimentaires wallonnes occup</w:t>
      </w:r>
      <w:r w:rsidR="00191FEE">
        <w:rPr>
          <w:lang w:val="fr-FR"/>
        </w:rPr>
        <w:t>ai</w:t>
      </w:r>
      <w:r w:rsidR="00F743A9">
        <w:rPr>
          <w:lang w:val="fr-FR"/>
        </w:rPr>
        <w:t>ent</w:t>
      </w:r>
      <w:r w:rsidR="00A96010" w:rsidRPr="00A96010">
        <w:rPr>
          <w:lang w:val="fr-FR"/>
        </w:rPr>
        <w:t xml:space="preserve"> moins de 5</w:t>
      </w:r>
      <w:r w:rsidR="00307532">
        <w:rPr>
          <w:lang w:val="fr-FR"/>
        </w:rPr>
        <w:t xml:space="preserve"> </w:t>
      </w:r>
      <w:r w:rsidR="00191FEE">
        <w:rPr>
          <w:lang w:val="fr-FR"/>
        </w:rPr>
        <w:t>travailleurs</w:t>
      </w:r>
      <w:r w:rsidR="00FC52CD">
        <w:rPr>
          <w:lang w:val="fr-FR"/>
        </w:rPr>
        <w:t xml:space="preserve">. </w:t>
      </w:r>
      <w:r w:rsidR="00FC52CD" w:rsidRPr="00FC52CD">
        <w:rPr>
          <w:lang w:val="fr-FR"/>
        </w:rPr>
        <w:t>S</w:t>
      </w:r>
      <w:r w:rsidR="00F743A9">
        <w:rPr>
          <w:lang w:val="fr-FR"/>
        </w:rPr>
        <w:t>eul</w:t>
      </w:r>
      <w:r w:rsidR="00191FEE">
        <w:rPr>
          <w:lang w:val="fr-FR"/>
        </w:rPr>
        <w:t>es</w:t>
      </w:r>
      <w:r w:rsidR="00F743A9">
        <w:rPr>
          <w:lang w:val="fr-FR"/>
        </w:rPr>
        <w:t xml:space="preserve"> 1</w:t>
      </w:r>
      <w:r w:rsidR="00535D05">
        <w:rPr>
          <w:lang w:val="fr-FR"/>
        </w:rPr>
        <w:t>3</w:t>
      </w:r>
      <w:r w:rsidR="00F743A9">
        <w:rPr>
          <w:lang w:val="fr-FR"/>
        </w:rPr>
        <w:t xml:space="preserve"> </w:t>
      </w:r>
      <w:r w:rsidR="00191FEE">
        <w:rPr>
          <w:lang w:val="fr-FR"/>
        </w:rPr>
        <w:t xml:space="preserve">entreprises </w:t>
      </w:r>
      <w:r w:rsidR="00F743A9">
        <w:rPr>
          <w:lang w:val="fr-FR"/>
        </w:rPr>
        <w:t>occup</w:t>
      </w:r>
      <w:r w:rsidR="00191FEE">
        <w:rPr>
          <w:lang w:val="fr-FR"/>
        </w:rPr>
        <w:t>ai</w:t>
      </w:r>
      <w:r w:rsidR="00F743A9">
        <w:rPr>
          <w:lang w:val="fr-FR"/>
        </w:rPr>
        <w:t>ent</w:t>
      </w:r>
      <w:r w:rsidR="00FC52CD" w:rsidRPr="00FC52CD">
        <w:rPr>
          <w:lang w:val="fr-FR"/>
        </w:rPr>
        <w:t xml:space="preserve"> plus de 250</w:t>
      </w:r>
      <w:r w:rsidR="00893505">
        <w:rPr>
          <w:lang w:val="fr-FR"/>
        </w:rPr>
        <w:t xml:space="preserve"> </w:t>
      </w:r>
      <w:r w:rsidR="00191FEE">
        <w:rPr>
          <w:lang w:val="fr-FR"/>
        </w:rPr>
        <w:t>travailleurs</w:t>
      </w:r>
      <w:r w:rsidR="00FC52CD" w:rsidRPr="00FC52CD">
        <w:rPr>
          <w:lang w:val="fr-FR"/>
        </w:rPr>
        <w:t>.</w:t>
      </w:r>
      <w:r w:rsidR="00FC52CD">
        <w:rPr>
          <w:lang w:val="fr-FR"/>
        </w:rPr>
        <w:t xml:space="preserve"> </w:t>
      </w:r>
      <w:r w:rsidR="00A96010" w:rsidRPr="00A96010">
        <w:rPr>
          <w:lang w:val="fr-FR"/>
        </w:rPr>
        <w:t>La grande majorité des très petites entreprises (&lt;5</w:t>
      </w:r>
      <w:r w:rsidR="00535D05">
        <w:rPr>
          <w:lang w:val="fr-FR"/>
        </w:rPr>
        <w:t xml:space="preserve"> </w:t>
      </w:r>
      <w:r w:rsidR="00191FEE">
        <w:rPr>
          <w:lang w:val="fr-FR"/>
        </w:rPr>
        <w:t>travailleurs</w:t>
      </w:r>
      <w:r w:rsidR="00A96010" w:rsidRPr="00A96010">
        <w:rPr>
          <w:lang w:val="fr-FR"/>
        </w:rPr>
        <w:t>) sont des boulangeries artisanales.</w:t>
      </w:r>
    </w:p>
    <w:p w:rsidR="00493CBA" w:rsidRDefault="00C7072B" w:rsidP="00FF7118">
      <w:pPr>
        <w:jc w:val="center"/>
        <w:rPr>
          <w:lang w:val="fr-FR"/>
        </w:rPr>
      </w:pPr>
      <w:r>
        <w:rPr>
          <w:noProof/>
          <w:lang w:eastAsia="nl-BE"/>
        </w:rPr>
        <w:drawing>
          <wp:inline distT="0" distB="0" distL="0" distR="0" wp14:anchorId="1ECD7BDA" wp14:editId="4C151085">
            <wp:extent cx="5760000" cy="3240000"/>
            <wp:effectExtent l="0" t="0" r="12700" b="1778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271DD" w:rsidRDefault="007271DD" w:rsidP="0090304D">
      <w:pPr>
        <w:spacing w:after="0" w:line="240" w:lineRule="auto"/>
        <w:rPr>
          <w:rFonts w:ascii="Times New Roman" w:eastAsia="Times New Roman" w:hAnsi="Times New Roman" w:cs="Times New Roman"/>
          <w:b/>
          <w:sz w:val="18"/>
          <w:szCs w:val="18"/>
          <w:lang w:val="fr-FR" w:eastAsia="nl-BE"/>
        </w:rPr>
      </w:pPr>
      <w:r w:rsidRPr="008B4235">
        <w:rPr>
          <w:rFonts w:ascii="Calibri" w:eastAsiaTheme="minorEastAsia" w:hAnsi="Calibri"/>
          <w:b/>
          <w:color w:val="000000" w:themeColor="text1"/>
          <w:kern w:val="24"/>
          <w:sz w:val="18"/>
          <w:szCs w:val="18"/>
          <w:lang w:val="fr-FR" w:eastAsia="nl-BE"/>
        </w:rPr>
        <w:t>Source: ONSS (statistiques décentralisées)</w:t>
      </w:r>
      <w:r>
        <w:rPr>
          <w:rFonts w:ascii="Calibri" w:eastAsiaTheme="minorEastAsia" w:hAnsi="Calibri"/>
          <w:b/>
          <w:color w:val="000000" w:themeColor="text1"/>
          <w:kern w:val="24"/>
          <w:sz w:val="18"/>
          <w:szCs w:val="18"/>
          <w:lang w:val="fr-FR" w:eastAsia="nl-BE"/>
        </w:rPr>
        <w:t>, estimations IDEA-consult</w:t>
      </w:r>
      <w:r w:rsidR="000C1140">
        <w:rPr>
          <w:rFonts w:ascii="Calibri" w:eastAsiaTheme="minorEastAsia" w:hAnsi="Calibri"/>
          <w:b/>
          <w:color w:val="000000" w:themeColor="text1"/>
          <w:kern w:val="24"/>
          <w:sz w:val="18"/>
          <w:szCs w:val="18"/>
          <w:lang w:val="fr-FR" w:eastAsia="nl-BE"/>
        </w:rPr>
        <w:t xml:space="preserve"> et FEVIA </w:t>
      </w:r>
      <w:r w:rsidR="00F743A9">
        <w:rPr>
          <w:rFonts w:ascii="Calibri" w:eastAsiaTheme="minorEastAsia" w:hAnsi="Calibri"/>
          <w:b/>
          <w:color w:val="000000" w:themeColor="text1"/>
          <w:kern w:val="24"/>
          <w:sz w:val="18"/>
          <w:szCs w:val="18"/>
          <w:lang w:val="fr-FR" w:eastAsia="nl-BE"/>
        </w:rPr>
        <w:t>Wallonie</w:t>
      </w:r>
    </w:p>
    <w:p w:rsidR="0090304D" w:rsidRPr="0090304D" w:rsidRDefault="0090304D" w:rsidP="0090304D">
      <w:pPr>
        <w:spacing w:after="0" w:line="240" w:lineRule="auto"/>
        <w:rPr>
          <w:rFonts w:ascii="Times New Roman" w:eastAsia="Times New Roman" w:hAnsi="Times New Roman" w:cs="Times New Roman"/>
          <w:b/>
          <w:sz w:val="18"/>
          <w:szCs w:val="18"/>
          <w:lang w:val="fr-FR" w:eastAsia="nl-BE"/>
        </w:rPr>
      </w:pPr>
    </w:p>
    <w:p w:rsidR="00F8207E" w:rsidRDefault="00C7072B" w:rsidP="00C270C8">
      <w:pPr>
        <w:jc w:val="center"/>
        <w:rPr>
          <w:lang w:val="fr-FR"/>
        </w:rPr>
      </w:pPr>
      <w:r>
        <w:rPr>
          <w:noProof/>
          <w:lang w:eastAsia="nl-BE"/>
        </w:rPr>
        <w:drawing>
          <wp:inline distT="0" distB="0" distL="0" distR="0" wp14:anchorId="5F278C3E" wp14:editId="0B3BFCC5">
            <wp:extent cx="5760000" cy="3240000"/>
            <wp:effectExtent l="0" t="0" r="12700" b="1778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271DD" w:rsidRPr="008B4235" w:rsidRDefault="007271DD" w:rsidP="0090304D">
      <w:pPr>
        <w:spacing w:line="240" w:lineRule="auto"/>
        <w:rPr>
          <w:rFonts w:ascii="Times New Roman" w:eastAsia="Times New Roman" w:hAnsi="Times New Roman" w:cs="Times New Roman"/>
          <w:b/>
          <w:sz w:val="18"/>
          <w:szCs w:val="18"/>
          <w:lang w:val="fr-FR" w:eastAsia="nl-BE"/>
        </w:rPr>
      </w:pPr>
      <w:r w:rsidRPr="008B4235">
        <w:rPr>
          <w:rFonts w:ascii="Calibri" w:eastAsiaTheme="minorEastAsia" w:hAnsi="Calibri"/>
          <w:b/>
          <w:color w:val="000000" w:themeColor="text1"/>
          <w:kern w:val="24"/>
          <w:sz w:val="18"/>
          <w:szCs w:val="18"/>
          <w:lang w:val="fr-FR" w:eastAsia="nl-BE"/>
        </w:rPr>
        <w:t>Source: ONSS (statistiques décentralisées)</w:t>
      </w:r>
      <w:r>
        <w:rPr>
          <w:rFonts w:ascii="Calibri" w:eastAsiaTheme="minorEastAsia" w:hAnsi="Calibri"/>
          <w:b/>
          <w:color w:val="000000" w:themeColor="text1"/>
          <w:kern w:val="24"/>
          <w:sz w:val="18"/>
          <w:szCs w:val="18"/>
          <w:lang w:val="fr-FR" w:eastAsia="nl-BE"/>
        </w:rPr>
        <w:t>, estimations IDEA-consult</w:t>
      </w:r>
      <w:r w:rsidR="000C1140">
        <w:rPr>
          <w:rFonts w:ascii="Calibri" w:eastAsiaTheme="minorEastAsia" w:hAnsi="Calibri"/>
          <w:b/>
          <w:color w:val="000000" w:themeColor="text1"/>
          <w:kern w:val="24"/>
          <w:sz w:val="18"/>
          <w:szCs w:val="18"/>
          <w:lang w:val="fr-FR" w:eastAsia="nl-BE"/>
        </w:rPr>
        <w:t xml:space="preserve"> et FEVIA </w:t>
      </w:r>
      <w:r w:rsidR="00AF0008">
        <w:rPr>
          <w:rFonts w:ascii="Calibri" w:eastAsiaTheme="minorEastAsia" w:hAnsi="Calibri"/>
          <w:b/>
          <w:color w:val="000000" w:themeColor="text1"/>
          <w:kern w:val="24"/>
          <w:sz w:val="18"/>
          <w:szCs w:val="18"/>
          <w:lang w:val="fr-FR" w:eastAsia="nl-BE"/>
        </w:rPr>
        <w:t>Wallonie</w:t>
      </w:r>
    </w:p>
    <w:p w:rsidR="00BE6EE4" w:rsidRDefault="00FF7118" w:rsidP="00165B6E">
      <w:pPr>
        <w:jc w:val="both"/>
        <w:rPr>
          <w:lang w:val="fr-FR"/>
        </w:rPr>
      </w:pPr>
      <w:r w:rsidRPr="00FF7118">
        <w:rPr>
          <w:lang w:val="fr-FR"/>
        </w:rPr>
        <w:t xml:space="preserve">Le nombre </w:t>
      </w:r>
      <w:r w:rsidR="006A74C3">
        <w:rPr>
          <w:lang w:val="fr-FR"/>
        </w:rPr>
        <w:t xml:space="preserve">d’entreprises </w:t>
      </w:r>
      <w:r w:rsidRPr="00FF7118">
        <w:rPr>
          <w:lang w:val="fr-FR"/>
        </w:rPr>
        <w:t>dans l’industrie alimentaire wallonne a co</w:t>
      </w:r>
      <w:r w:rsidR="00F743A9">
        <w:rPr>
          <w:lang w:val="fr-FR"/>
        </w:rPr>
        <w:t>ntinué de diminuer en 201</w:t>
      </w:r>
      <w:r w:rsidR="00535D05">
        <w:rPr>
          <w:lang w:val="fr-FR"/>
        </w:rPr>
        <w:t>4</w:t>
      </w:r>
      <w:r w:rsidR="00F743A9">
        <w:rPr>
          <w:lang w:val="fr-FR"/>
        </w:rPr>
        <w:t xml:space="preserve"> (-1</w:t>
      </w:r>
      <w:r w:rsidR="00535D05">
        <w:rPr>
          <w:lang w:val="fr-FR"/>
        </w:rPr>
        <w:t>,4</w:t>
      </w:r>
      <w:r w:rsidRPr="00FF7118">
        <w:rPr>
          <w:lang w:val="fr-FR"/>
        </w:rPr>
        <w:t>%). La taille moyenne des entreprises alimentair</w:t>
      </w:r>
      <w:r w:rsidR="00090358">
        <w:rPr>
          <w:lang w:val="fr-FR"/>
        </w:rPr>
        <w:t xml:space="preserve">es wallonnes </w:t>
      </w:r>
      <w:r w:rsidR="00535D05">
        <w:rPr>
          <w:lang w:val="fr-FR"/>
        </w:rPr>
        <w:t xml:space="preserve">en 2014 </w:t>
      </w:r>
      <w:r w:rsidR="00090358">
        <w:rPr>
          <w:lang w:val="fr-FR"/>
        </w:rPr>
        <w:t xml:space="preserve">est </w:t>
      </w:r>
      <w:r w:rsidR="006A74C3">
        <w:rPr>
          <w:lang w:val="fr-FR"/>
        </w:rPr>
        <w:t xml:space="preserve">de </w:t>
      </w:r>
      <w:r w:rsidR="00090358">
        <w:rPr>
          <w:lang w:val="fr-FR"/>
        </w:rPr>
        <w:t>14,</w:t>
      </w:r>
      <w:r w:rsidR="00535D05">
        <w:rPr>
          <w:lang w:val="fr-FR"/>
        </w:rPr>
        <w:t>4</w:t>
      </w:r>
      <w:r w:rsidR="00BE6EE4">
        <w:rPr>
          <w:lang w:val="fr-FR"/>
        </w:rPr>
        <w:t xml:space="preserve"> effectifs</w:t>
      </w:r>
      <w:r w:rsidR="00535D05">
        <w:rPr>
          <w:lang w:val="fr-FR"/>
        </w:rPr>
        <w:t xml:space="preserve"> </w:t>
      </w:r>
      <w:r w:rsidR="00535D05">
        <w:rPr>
          <w:lang w:val="fr-FR"/>
        </w:rPr>
        <w:lastRenderedPageBreak/>
        <w:t>(estimation)</w:t>
      </w:r>
      <w:r w:rsidR="00BE6EE4">
        <w:rPr>
          <w:lang w:val="fr-FR"/>
        </w:rPr>
        <w:t xml:space="preserve">. </w:t>
      </w:r>
      <w:r w:rsidRPr="00FF7118">
        <w:rPr>
          <w:lang w:val="fr-FR"/>
        </w:rPr>
        <w:t>L’industrie alimentaire a connu une consolidation ces dernières années. Ce processus de consolidation est seulement en partie expliqué par le recul des boulangeries artisanales. Il existe bel et bien une croissance d’échelle dans l’industrie alimentaire</w:t>
      </w:r>
      <w:r w:rsidR="00BE6EE4">
        <w:rPr>
          <w:lang w:val="fr-FR"/>
        </w:rPr>
        <w:t xml:space="preserve"> Wallonne</w:t>
      </w:r>
      <w:r w:rsidRPr="00FF7118">
        <w:rPr>
          <w:lang w:val="fr-FR"/>
        </w:rPr>
        <w:t xml:space="preserve">. En fait, </w:t>
      </w:r>
      <w:r w:rsidR="00BE6EE4" w:rsidRPr="00FF7118">
        <w:rPr>
          <w:lang w:val="fr-FR"/>
        </w:rPr>
        <w:t>un</w:t>
      </w:r>
      <w:r w:rsidRPr="00FF7118">
        <w:rPr>
          <w:lang w:val="fr-FR"/>
        </w:rPr>
        <w:t xml:space="preserve"> processus </w:t>
      </w:r>
      <w:r w:rsidR="00BE6EE4">
        <w:rPr>
          <w:lang w:val="fr-FR"/>
        </w:rPr>
        <w:t>de la</w:t>
      </w:r>
      <w:r w:rsidRPr="00FF7118">
        <w:rPr>
          <w:lang w:val="fr-FR"/>
        </w:rPr>
        <w:t xml:space="preserve"> consolidation n’est pas négatif, au contraire : cela peut mieux armer les entreprises dans </w:t>
      </w:r>
      <w:r w:rsidR="00BE6EE4" w:rsidRPr="00FF7118">
        <w:rPr>
          <w:lang w:val="fr-FR"/>
        </w:rPr>
        <w:t>un</w:t>
      </w:r>
      <w:r w:rsidRPr="00FF7118">
        <w:rPr>
          <w:lang w:val="fr-FR"/>
        </w:rPr>
        <w:t xml:space="preserve"> contexte international de plus en plus compétitif.</w:t>
      </w:r>
    </w:p>
    <w:p w:rsidR="00165B6E" w:rsidRDefault="00165B6E" w:rsidP="00165B6E">
      <w:pPr>
        <w:jc w:val="both"/>
        <w:rPr>
          <w:lang w:val="fr-FR"/>
        </w:rPr>
      </w:pPr>
    </w:p>
    <w:p w:rsidR="00165B6E" w:rsidRDefault="00165B6E" w:rsidP="00165B6E">
      <w:pPr>
        <w:jc w:val="both"/>
        <w:rPr>
          <w:lang w:val="fr-FR"/>
        </w:rPr>
      </w:pPr>
    </w:p>
    <w:p w:rsidR="00165B6E" w:rsidRDefault="00165B6E" w:rsidP="00165B6E">
      <w:pPr>
        <w:jc w:val="both"/>
        <w:rPr>
          <w:lang w:val="fr-FR"/>
        </w:rPr>
      </w:pPr>
    </w:p>
    <w:p w:rsidR="00165B6E" w:rsidRDefault="00165B6E" w:rsidP="00165B6E">
      <w:pPr>
        <w:jc w:val="both"/>
        <w:rPr>
          <w:lang w:val="fr-FR"/>
        </w:rPr>
      </w:pPr>
    </w:p>
    <w:p w:rsidR="00165B6E" w:rsidRDefault="00165B6E" w:rsidP="00165B6E">
      <w:pPr>
        <w:jc w:val="both"/>
        <w:rPr>
          <w:lang w:val="fr-FR"/>
        </w:rPr>
      </w:pPr>
    </w:p>
    <w:p w:rsidR="00165B6E" w:rsidRDefault="00165B6E" w:rsidP="00165B6E">
      <w:pPr>
        <w:jc w:val="both"/>
        <w:rPr>
          <w:lang w:val="fr-FR"/>
        </w:rPr>
      </w:pPr>
    </w:p>
    <w:p w:rsidR="00165B6E" w:rsidRDefault="00165B6E" w:rsidP="00165B6E">
      <w:pPr>
        <w:jc w:val="both"/>
        <w:rPr>
          <w:lang w:val="fr-FR"/>
        </w:rPr>
      </w:pPr>
    </w:p>
    <w:p w:rsidR="00165B6E" w:rsidRDefault="00165B6E" w:rsidP="00165B6E">
      <w:pPr>
        <w:jc w:val="both"/>
        <w:rPr>
          <w:lang w:val="fr-FR"/>
        </w:rPr>
      </w:pPr>
    </w:p>
    <w:p w:rsidR="00165B6E" w:rsidRDefault="00165B6E" w:rsidP="00165B6E">
      <w:pPr>
        <w:jc w:val="both"/>
        <w:rPr>
          <w:lang w:val="fr-FR"/>
        </w:rPr>
      </w:pPr>
    </w:p>
    <w:p w:rsidR="00165B6E" w:rsidRDefault="00165B6E" w:rsidP="00165B6E">
      <w:pPr>
        <w:jc w:val="both"/>
        <w:rPr>
          <w:lang w:val="fr-FR"/>
        </w:rPr>
      </w:pPr>
    </w:p>
    <w:p w:rsidR="00165B6E" w:rsidRDefault="00165B6E" w:rsidP="00165B6E">
      <w:pPr>
        <w:jc w:val="both"/>
        <w:rPr>
          <w:lang w:val="fr-FR"/>
        </w:rPr>
      </w:pPr>
    </w:p>
    <w:p w:rsidR="00165B6E" w:rsidRDefault="00165B6E" w:rsidP="00165B6E">
      <w:pPr>
        <w:jc w:val="both"/>
        <w:rPr>
          <w:lang w:val="fr-FR"/>
        </w:rPr>
      </w:pPr>
    </w:p>
    <w:p w:rsidR="00165B6E" w:rsidRDefault="00165B6E" w:rsidP="00165B6E">
      <w:pPr>
        <w:jc w:val="both"/>
        <w:rPr>
          <w:lang w:val="fr-FR"/>
        </w:rPr>
      </w:pPr>
    </w:p>
    <w:p w:rsidR="00165B6E" w:rsidRDefault="00165B6E" w:rsidP="00165B6E">
      <w:pPr>
        <w:jc w:val="both"/>
        <w:rPr>
          <w:lang w:val="fr-FR"/>
        </w:rPr>
      </w:pPr>
    </w:p>
    <w:p w:rsidR="00165B6E" w:rsidRDefault="00165B6E" w:rsidP="00165B6E">
      <w:pPr>
        <w:jc w:val="both"/>
        <w:rPr>
          <w:lang w:val="fr-FR"/>
        </w:rPr>
      </w:pPr>
    </w:p>
    <w:p w:rsidR="00165B6E" w:rsidRDefault="00165B6E" w:rsidP="00165B6E">
      <w:pPr>
        <w:jc w:val="both"/>
        <w:rPr>
          <w:lang w:val="fr-FR"/>
        </w:rPr>
      </w:pPr>
    </w:p>
    <w:p w:rsidR="00165B6E" w:rsidRDefault="00165B6E" w:rsidP="00165B6E">
      <w:pPr>
        <w:jc w:val="both"/>
        <w:rPr>
          <w:lang w:val="fr-FR"/>
        </w:rPr>
      </w:pPr>
    </w:p>
    <w:p w:rsidR="00165B6E" w:rsidRDefault="00165B6E" w:rsidP="00165B6E">
      <w:pPr>
        <w:jc w:val="both"/>
        <w:rPr>
          <w:lang w:val="fr-FR"/>
        </w:rPr>
      </w:pPr>
    </w:p>
    <w:p w:rsidR="00165B6E" w:rsidRDefault="00165B6E" w:rsidP="00165B6E">
      <w:pPr>
        <w:jc w:val="both"/>
        <w:rPr>
          <w:lang w:val="fr-FR"/>
        </w:rPr>
      </w:pPr>
    </w:p>
    <w:p w:rsidR="00165B6E" w:rsidRDefault="00165B6E" w:rsidP="00165B6E">
      <w:pPr>
        <w:jc w:val="both"/>
        <w:rPr>
          <w:lang w:val="fr-FR"/>
        </w:rPr>
      </w:pPr>
    </w:p>
    <w:p w:rsidR="00165B6E" w:rsidRDefault="00165B6E" w:rsidP="00165B6E">
      <w:pPr>
        <w:jc w:val="both"/>
        <w:rPr>
          <w:lang w:val="fr-FR"/>
        </w:rPr>
      </w:pPr>
    </w:p>
    <w:p w:rsidR="00165B6E" w:rsidRDefault="00165B6E" w:rsidP="00165B6E">
      <w:pPr>
        <w:jc w:val="both"/>
        <w:rPr>
          <w:lang w:val="fr-FR"/>
        </w:rPr>
      </w:pPr>
    </w:p>
    <w:p w:rsidR="00165B6E" w:rsidRDefault="00165B6E" w:rsidP="00165B6E">
      <w:pPr>
        <w:jc w:val="both"/>
        <w:rPr>
          <w:lang w:val="fr-FR"/>
        </w:rPr>
      </w:pPr>
    </w:p>
    <w:p w:rsidR="00165B6E" w:rsidRDefault="00165B6E" w:rsidP="00165B6E">
      <w:pPr>
        <w:pStyle w:val="Heading1"/>
        <w:numPr>
          <w:ilvl w:val="0"/>
          <w:numId w:val="2"/>
        </w:numPr>
        <w:rPr>
          <w:lang w:val="fr-FR"/>
        </w:rPr>
      </w:pPr>
      <w:bookmarkStart w:id="5" w:name="_Toc431453523"/>
      <w:r>
        <w:rPr>
          <w:lang w:val="fr-FR"/>
        </w:rPr>
        <w:lastRenderedPageBreak/>
        <w:t>Investissements</w:t>
      </w:r>
      <w:bookmarkEnd w:id="5"/>
      <w:r>
        <w:rPr>
          <w:lang w:val="fr-FR"/>
        </w:rPr>
        <w:t xml:space="preserve"> </w:t>
      </w:r>
    </w:p>
    <w:p w:rsidR="007228BA" w:rsidRPr="00AB562A" w:rsidRDefault="007228BA" w:rsidP="0003097C">
      <w:pPr>
        <w:jc w:val="both"/>
        <w:rPr>
          <w:lang w:val="fr-FR"/>
        </w:rPr>
      </w:pPr>
      <w:r w:rsidRPr="00AB562A">
        <w:rPr>
          <w:lang w:val="fr-FR"/>
        </w:rPr>
        <w:t>En 201</w:t>
      </w:r>
      <w:r w:rsidR="00143E37">
        <w:rPr>
          <w:lang w:val="fr-FR"/>
        </w:rPr>
        <w:t>4</w:t>
      </w:r>
      <w:r w:rsidRPr="00AB562A">
        <w:rPr>
          <w:lang w:val="fr-FR"/>
        </w:rPr>
        <w:t xml:space="preserve">, les investissements </w:t>
      </w:r>
      <w:r w:rsidR="00187838" w:rsidRPr="00AB562A">
        <w:rPr>
          <w:lang w:val="fr-FR"/>
        </w:rPr>
        <w:t>en</w:t>
      </w:r>
      <w:r w:rsidR="008E698A" w:rsidRPr="00AB562A">
        <w:rPr>
          <w:lang w:val="fr-FR"/>
        </w:rPr>
        <w:t xml:space="preserve"> immobilisation corporelle</w:t>
      </w:r>
      <w:r w:rsidRPr="00AB562A">
        <w:rPr>
          <w:lang w:val="fr-FR"/>
        </w:rPr>
        <w:t xml:space="preserve"> </w:t>
      </w:r>
      <w:r w:rsidR="00187838" w:rsidRPr="00AB562A">
        <w:rPr>
          <w:lang w:val="fr-FR"/>
        </w:rPr>
        <w:t xml:space="preserve">ont </w:t>
      </w:r>
      <w:r w:rsidR="00143E37">
        <w:rPr>
          <w:lang w:val="fr-FR"/>
        </w:rPr>
        <w:t>augmenté</w:t>
      </w:r>
      <w:r w:rsidRPr="00AB562A">
        <w:rPr>
          <w:lang w:val="fr-FR"/>
        </w:rPr>
        <w:t xml:space="preserve"> d</w:t>
      </w:r>
      <w:r w:rsidR="00187838" w:rsidRPr="00AB562A">
        <w:rPr>
          <w:lang w:val="fr-FR"/>
        </w:rPr>
        <w:t xml:space="preserve">e </w:t>
      </w:r>
      <w:r w:rsidR="00143E37">
        <w:rPr>
          <w:lang w:val="fr-FR"/>
        </w:rPr>
        <w:t>23</w:t>
      </w:r>
      <w:r w:rsidR="00187838" w:rsidRPr="00AB562A">
        <w:rPr>
          <w:lang w:val="fr-FR"/>
        </w:rPr>
        <w:t xml:space="preserve">%. </w:t>
      </w:r>
      <w:r w:rsidR="00143E37">
        <w:rPr>
          <w:lang w:val="fr-FR"/>
        </w:rPr>
        <w:t>L</w:t>
      </w:r>
      <w:r w:rsidR="00187838" w:rsidRPr="00AB562A">
        <w:rPr>
          <w:lang w:val="fr-FR"/>
        </w:rPr>
        <w:t>’industrie alimentaire wallonne a investi  2</w:t>
      </w:r>
      <w:r w:rsidR="00143E37">
        <w:rPr>
          <w:lang w:val="fr-FR"/>
        </w:rPr>
        <w:t>86,9</w:t>
      </w:r>
      <w:r w:rsidR="00187838" w:rsidRPr="00AB562A">
        <w:rPr>
          <w:lang w:val="fr-FR"/>
        </w:rPr>
        <w:t xml:space="preserve"> million d’euros</w:t>
      </w:r>
      <w:r w:rsidR="0003097C" w:rsidRPr="00AB562A">
        <w:rPr>
          <w:lang w:val="fr-FR"/>
        </w:rPr>
        <w:t xml:space="preserve"> (fig. </w:t>
      </w:r>
      <w:r w:rsidR="00234987">
        <w:rPr>
          <w:lang w:val="fr-FR"/>
        </w:rPr>
        <w:t>10</w:t>
      </w:r>
      <w:r w:rsidR="0003097C" w:rsidRPr="00AB562A">
        <w:rPr>
          <w:lang w:val="fr-FR"/>
        </w:rPr>
        <w:t>)</w:t>
      </w:r>
      <w:r w:rsidR="00187838" w:rsidRPr="00AB562A">
        <w:rPr>
          <w:lang w:val="fr-FR"/>
        </w:rPr>
        <w:t>. Au cours de la période 2008-201</w:t>
      </w:r>
      <w:r w:rsidR="00143E37">
        <w:rPr>
          <w:lang w:val="fr-FR"/>
        </w:rPr>
        <w:t>4</w:t>
      </w:r>
      <w:r w:rsidR="00187838" w:rsidRPr="00AB562A">
        <w:rPr>
          <w:lang w:val="fr-FR"/>
        </w:rPr>
        <w:t>, la part de l’industrie alimentaire dans la totalité</w:t>
      </w:r>
      <w:r w:rsidR="008E698A" w:rsidRPr="00AB562A">
        <w:rPr>
          <w:lang w:val="fr-FR"/>
        </w:rPr>
        <w:t xml:space="preserve"> des investissements industriels</w:t>
      </w:r>
      <w:r w:rsidR="00187838" w:rsidRPr="00AB562A">
        <w:rPr>
          <w:lang w:val="fr-FR"/>
        </w:rPr>
        <w:t xml:space="preserve"> </w:t>
      </w:r>
      <w:r w:rsidR="00893505" w:rsidRPr="00AB562A">
        <w:rPr>
          <w:lang w:val="fr-FR"/>
        </w:rPr>
        <w:t>augmente de 1</w:t>
      </w:r>
      <w:r w:rsidR="00143E37">
        <w:rPr>
          <w:lang w:val="fr-FR"/>
        </w:rPr>
        <w:t>1</w:t>
      </w:r>
      <w:r w:rsidR="00893505" w:rsidRPr="00AB562A">
        <w:rPr>
          <w:lang w:val="fr-FR"/>
        </w:rPr>
        <w:t>,</w:t>
      </w:r>
      <w:r w:rsidR="00143E37">
        <w:rPr>
          <w:lang w:val="fr-FR"/>
        </w:rPr>
        <w:t>9</w:t>
      </w:r>
      <w:r w:rsidR="00893505" w:rsidRPr="00AB562A">
        <w:rPr>
          <w:lang w:val="fr-FR"/>
        </w:rPr>
        <w:t>% en 2008 à 1</w:t>
      </w:r>
      <w:r w:rsidR="00143E37">
        <w:rPr>
          <w:lang w:val="fr-FR"/>
        </w:rPr>
        <w:t>9,4</w:t>
      </w:r>
      <w:r w:rsidR="00187838" w:rsidRPr="00AB562A">
        <w:rPr>
          <w:lang w:val="fr-FR"/>
        </w:rPr>
        <w:t>% en 201</w:t>
      </w:r>
      <w:r w:rsidR="00143E37">
        <w:rPr>
          <w:lang w:val="fr-FR"/>
        </w:rPr>
        <w:t>4</w:t>
      </w:r>
      <w:r w:rsidR="00187838" w:rsidRPr="00AB562A">
        <w:rPr>
          <w:lang w:val="fr-FR"/>
        </w:rPr>
        <w:t>.</w:t>
      </w:r>
      <w:r w:rsidR="00021F22" w:rsidRPr="00120115">
        <w:rPr>
          <w:lang w:val="fr-BE"/>
        </w:rPr>
        <w:t xml:space="preserve"> </w:t>
      </w:r>
      <w:r w:rsidR="00021F22" w:rsidRPr="00021F22">
        <w:rPr>
          <w:lang w:val="fr-FR"/>
        </w:rPr>
        <w:t>Dans l’industrie manufacturière wallonne, les investissements en 2014 sont de 20,6% supérieurs à ceux de 2008.</w:t>
      </w:r>
    </w:p>
    <w:p w:rsidR="00165B6E" w:rsidRPr="008E698A" w:rsidRDefault="00021F22" w:rsidP="00AB562A">
      <w:pPr>
        <w:jc w:val="both"/>
        <w:rPr>
          <w:lang w:val="fr-FR"/>
        </w:rPr>
      </w:pPr>
      <w:r>
        <w:rPr>
          <w:lang w:val="fr-FR"/>
        </w:rPr>
        <w:t xml:space="preserve">Les investissements dans l’industrie alimentaire sont liés à la conjoncture. </w:t>
      </w:r>
      <w:r w:rsidR="00187838" w:rsidRPr="00AB562A">
        <w:rPr>
          <w:lang w:val="fr-FR"/>
        </w:rPr>
        <w:t xml:space="preserve">Après plusieurs années de forte croissance </w:t>
      </w:r>
      <w:r w:rsidR="0003097C" w:rsidRPr="00AB562A">
        <w:rPr>
          <w:lang w:val="fr-FR"/>
        </w:rPr>
        <w:t>avant 2008</w:t>
      </w:r>
      <w:r w:rsidR="00187838" w:rsidRPr="00AB562A">
        <w:rPr>
          <w:lang w:val="fr-FR"/>
        </w:rPr>
        <w:t xml:space="preserve">, le secteur n’a pas échappé aux conséquences de la crise financière et économique de 2009 et 2010. </w:t>
      </w:r>
      <w:r w:rsidR="00366380">
        <w:rPr>
          <w:lang w:val="fr-FR"/>
        </w:rPr>
        <w:t>Aprè</w:t>
      </w:r>
      <w:r>
        <w:rPr>
          <w:lang w:val="fr-FR"/>
        </w:rPr>
        <w:t>s</w:t>
      </w:r>
      <w:r w:rsidR="00187838" w:rsidRPr="00AB562A">
        <w:rPr>
          <w:lang w:val="fr-FR"/>
        </w:rPr>
        <w:t xml:space="preserve"> 201</w:t>
      </w:r>
      <w:r>
        <w:rPr>
          <w:lang w:val="fr-FR"/>
        </w:rPr>
        <w:t>0</w:t>
      </w:r>
      <w:r w:rsidR="00187838" w:rsidRPr="00AB562A">
        <w:rPr>
          <w:lang w:val="fr-FR"/>
        </w:rPr>
        <w:t xml:space="preserve">, les investissements de l’industrie alimentaire </w:t>
      </w:r>
      <w:r>
        <w:rPr>
          <w:lang w:val="fr-FR"/>
        </w:rPr>
        <w:t xml:space="preserve">wallonne </w:t>
      </w:r>
      <w:r w:rsidR="00187838" w:rsidRPr="00AB562A">
        <w:rPr>
          <w:lang w:val="fr-FR"/>
        </w:rPr>
        <w:t xml:space="preserve">ont </w:t>
      </w:r>
      <w:r w:rsidR="0003097C" w:rsidRPr="00AB562A">
        <w:rPr>
          <w:lang w:val="fr-FR"/>
        </w:rPr>
        <w:t xml:space="preserve">connu une </w:t>
      </w:r>
      <w:r w:rsidR="00187838" w:rsidRPr="00AB562A">
        <w:rPr>
          <w:lang w:val="fr-FR"/>
        </w:rPr>
        <w:t>croissance</w:t>
      </w:r>
      <w:r w:rsidR="0003097C" w:rsidRPr="00AB562A">
        <w:rPr>
          <w:lang w:val="fr-FR"/>
        </w:rPr>
        <w:t xml:space="preserve"> </w:t>
      </w:r>
      <w:r>
        <w:rPr>
          <w:lang w:val="fr-FR"/>
        </w:rPr>
        <w:t xml:space="preserve">forte. </w:t>
      </w:r>
      <w:r w:rsidR="008E698A" w:rsidRPr="00AB562A">
        <w:rPr>
          <w:lang w:val="fr-FR"/>
        </w:rPr>
        <w:t>Par précaution, il faut mentionner qu’il s’agit ici d’estimations</w:t>
      </w:r>
      <w:r w:rsidR="00165B6E" w:rsidRPr="00AB562A">
        <w:rPr>
          <w:lang w:val="fr-FR"/>
        </w:rPr>
        <w:t>.</w:t>
      </w:r>
    </w:p>
    <w:p w:rsidR="00BE6EE4" w:rsidRDefault="00C7072B" w:rsidP="00FF7118">
      <w:pPr>
        <w:jc w:val="both"/>
        <w:rPr>
          <w:lang w:val="fr-FR"/>
        </w:rPr>
      </w:pPr>
      <w:r>
        <w:rPr>
          <w:noProof/>
          <w:lang w:eastAsia="nl-BE"/>
        </w:rPr>
        <w:drawing>
          <wp:inline distT="0" distB="0" distL="0" distR="0" wp14:anchorId="175CC7AB" wp14:editId="5D64A424">
            <wp:extent cx="5760000" cy="3240000"/>
            <wp:effectExtent l="0" t="0" r="12700" b="1778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E6EE4" w:rsidRPr="00165B6E" w:rsidRDefault="00165B6E" w:rsidP="00165B6E">
      <w:pPr>
        <w:jc w:val="both"/>
        <w:rPr>
          <w:b/>
          <w:color w:val="000000" w:themeColor="text1"/>
          <w:sz w:val="18"/>
          <w:szCs w:val="18"/>
          <w:lang w:val="fr-FR"/>
        </w:rPr>
      </w:pPr>
      <w:r w:rsidRPr="00B74534">
        <w:rPr>
          <w:b/>
          <w:color w:val="000000" w:themeColor="text1"/>
          <w:sz w:val="18"/>
          <w:szCs w:val="18"/>
          <w:lang w:val="fr-FR"/>
        </w:rPr>
        <w:t xml:space="preserve">Source : </w:t>
      </w:r>
      <w:r>
        <w:rPr>
          <w:b/>
          <w:color w:val="000000" w:themeColor="text1"/>
          <w:sz w:val="18"/>
          <w:szCs w:val="18"/>
          <w:lang w:val="fr-FR"/>
        </w:rPr>
        <w:t>DGSIE (déclarations T.V.A.)</w:t>
      </w:r>
      <w:r w:rsidR="00973A0F">
        <w:rPr>
          <w:b/>
          <w:color w:val="000000" w:themeColor="text1"/>
          <w:sz w:val="18"/>
          <w:szCs w:val="18"/>
          <w:lang w:val="fr-FR"/>
        </w:rPr>
        <w:t>, estimations IDEA-consult</w:t>
      </w:r>
    </w:p>
    <w:p w:rsidR="00BE6EE4" w:rsidRDefault="00BE6EE4" w:rsidP="00FF7118">
      <w:pPr>
        <w:jc w:val="both"/>
        <w:rPr>
          <w:lang w:val="fr-FR"/>
        </w:rPr>
      </w:pPr>
    </w:p>
    <w:p w:rsidR="00BE6EE4" w:rsidRDefault="00BE6EE4" w:rsidP="00FF7118">
      <w:pPr>
        <w:jc w:val="both"/>
        <w:rPr>
          <w:lang w:val="fr-FR"/>
        </w:rPr>
      </w:pPr>
    </w:p>
    <w:p w:rsidR="00BE6EE4" w:rsidRDefault="00BE6EE4" w:rsidP="00FF7118">
      <w:pPr>
        <w:jc w:val="both"/>
        <w:rPr>
          <w:lang w:val="fr-FR"/>
        </w:rPr>
      </w:pPr>
    </w:p>
    <w:p w:rsidR="00BE6EE4" w:rsidRDefault="00BE6EE4" w:rsidP="00FF7118">
      <w:pPr>
        <w:jc w:val="both"/>
        <w:rPr>
          <w:lang w:val="fr-FR"/>
        </w:rPr>
      </w:pPr>
    </w:p>
    <w:p w:rsidR="00165B6E" w:rsidRDefault="00165B6E" w:rsidP="00FF7118">
      <w:pPr>
        <w:jc w:val="both"/>
        <w:rPr>
          <w:lang w:val="fr-FR"/>
        </w:rPr>
      </w:pPr>
    </w:p>
    <w:p w:rsidR="00423E63" w:rsidRDefault="00423E63" w:rsidP="00FF7118">
      <w:pPr>
        <w:jc w:val="both"/>
        <w:rPr>
          <w:lang w:val="fr-FR"/>
        </w:rPr>
      </w:pPr>
    </w:p>
    <w:p w:rsidR="00165B6E" w:rsidRDefault="00165B6E" w:rsidP="00FF7118">
      <w:pPr>
        <w:jc w:val="both"/>
        <w:rPr>
          <w:lang w:val="fr-FR"/>
        </w:rPr>
      </w:pPr>
    </w:p>
    <w:p w:rsidR="00723E9B" w:rsidRPr="00723E9B" w:rsidRDefault="00723E9B" w:rsidP="00EB2410">
      <w:pPr>
        <w:pStyle w:val="Heading1"/>
        <w:numPr>
          <w:ilvl w:val="0"/>
          <w:numId w:val="2"/>
        </w:numPr>
        <w:rPr>
          <w:lang w:val="fr-FR"/>
        </w:rPr>
      </w:pPr>
      <w:bookmarkStart w:id="6" w:name="_Toc431453524"/>
      <w:r>
        <w:rPr>
          <w:lang w:val="fr-FR"/>
        </w:rPr>
        <w:t>Rentabilité et compétitivité</w:t>
      </w:r>
      <w:bookmarkEnd w:id="6"/>
    </w:p>
    <w:p w:rsidR="003957C5" w:rsidRDefault="0079174C" w:rsidP="0079174C">
      <w:pPr>
        <w:jc w:val="both"/>
        <w:rPr>
          <w:lang w:val="fr-BE"/>
        </w:rPr>
      </w:pPr>
      <w:r w:rsidRPr="00FD0274">
        <w:rPr>
          <w:lang w:val="fr-FR"/>
        </w:rPr>
        <w:t>Une entr</w:t>
      </w:r>
      <w:r w:rsidR="007D013D" w:rsidRPr="00FD0274">
        <w:rPr>
          <w:lang w:val="fr-FR"/>
        </w:rPr>
        <w:t xml:space="preserve">eprise alimentaire </w:t>
      </w:r>
      <w:r w:rsidR="003957C5">
        <w:rPr>
          <w:lang w:val="fr-FR"/>
        </w:rPr>
        <w:t xml:space="preserve">moyenne </w:t>
      </w:r>
      <w:r w:rsidR="007D013D" w:rsidRPr="00FD0274">
        <w:rPr>
          <w:lang w:val="fr-FR"/>
        </w:rPr>
        <w:t>générait en 201</w:t>
      </w:r>
      <w:r w:rsidR="003957C5">
        <w:rPr>
          <w:lang w:val="fr-FR"/>
        </w:rPr>
        <w:t>3</w:t>
      </w:r>
      <w:r w:rsidR="007D013D" w:rsidRPr="00FD0274">
        <w:rPr>
          <w:lang w:val="fr-FR"/>
        </w:rPr>
        <w:t xml:space="preserve"> un</w:t>
      </w:r>
      <w:r w:rsidR="003957C5">
        <w:rPr>
          <w:lang w:val="fr-FR"/>
        </w:rPr>
        <w:t>e</w:t>
      </w:r>
      <w:r w:rsidR="007D013D" w:rsidRPr="00FD0274">
        <w:rPr>
          <w:lang w:val="fr-FR"/>
        </w:rPr>
        <w:t xml:space="preserve"> </w:t>
      </w:r>
      <w:r w:rsidR="003957C5">
        <w:rPr>
          <w:lang w:val="fr-FR"/>
        </w:rPr>
        <w:t>marge opérationnelle</w:t>
      </w:r>
      <w:r w:rsidR="003957C5" w:rsidRPr="00FD0274">
        <w:rPr>
          <w:lang w:val="fr-FR"/>
        </w:rPr>
        <w:t xml:space="preserve"> </w:t>
      </w:r>
      <w:r w:rsidR="007D013D" w:rsidRPr="00FD0274">
        <w:rPr>
          <w:lang w:val="fr-FR"/>
        </w:rPr>
        <w:t>net</w:t>
      </w:r>
      <w:r w:rsidR="003957C5">
        <w:rPr>
          <w:lang w:val="fr-FR"/>
        </w:rPr>
        <w:t>te</w:t>
      </w:r>
      <w:r w:rsidR="007D013D" w:rsidRPr="00FD0274">
        <w:rPr>
          <w:lang w:val="fr-FR"/>
        </w:rPr>
        <w:t xml:space="preserve"> de </w:t>
      </w:r>
      <w:r w:rsidR="003957C5">
        <w:rPr>
          <w:lang w:val="fr-FR"/>
        </w:rPr>
        <w:t>3,6</w:t>
      </w:r>
      <w:r w:rsidRPr="00FD0274">
        <w:rPr>
          <w:lang w:val="fr-FR"/>
        </w:rPr>
        <w:t>%</w:t>
      </w:r>
      <w:r w:rsidR="007D013D" w:rsidRPr="00FD0274">
        <w:rPr>
          <w:lang w:val="fr-FR"/>
        </w:rPr>
        <w:t xml:space="preserve">, soit une </w:t>
      </w:r>
      <w:r w:rsidR="003957C5">
        <w:rPr>
          <w:lang w:val="fr-FR"/>
        </w:rPr>
        <w:t>augmentation</w:t>
      </w:r>
      <w:r w:rsidR="003957C5" w:rsidRPr="00FD0274">
        <w:rPr>
          <w:lang w:val="fr-FR"/>
        </w:rPr>
        <w:t xml:space="preserve"> </w:t>
      </w:r>
      <w:r w:rsidR="007D013D" w:rsidRPr="00FD0274">
        <w:rPr>
          <w:lang w:val="fr-FR"/>
        </w:rPr>
        <w:t>de 0,</w:t>
      </w:r>
      <w:r w:rsidR="003957C5">
        <w:rPr>
          <w:lang w:val="fr-FR"/>
        </w:rPr>
        <w:t>2</w:t>
      </w:r>
      <w:r w:rsidRPr="00FD0274">
        <w:rPr>
          <w:lang w:val="fr-FR"/>
        </w:rPr>
        <w:t xml:space="preserve"> point de</w:t>
      </w:r>
      <w:r w:rsidR="007D013D" w:rsidRPr="00FD0274">
        <w:rPr>
          <w:lang w:val="fr-FR"/>
        </w:rPr>
        <w:t xml:space="preserve"> pourcentage  par rapport à 201</w:t>
      </w:r>
      <w:r w:rsidR="003957C5">
        <w:rPr>
          <w:lang w:val="fr-FR"/>
        </w:rPr>
        <w:t>2</w:t>
      </w:r>
      <w:r w:rsidRPr="00FD0274">
        <w:rPr>
          <w:lang w:val="fr-FR"/>
        </w:rPr>
        <w:t>.</w:t>
      </w:r>
      <w:r w:rsidR="006C70DD" w:rsidRPr="00FD0274">
        <w:rPr>
          <w:lang w:val="fr-BE"/>
        </w:rPr>
        <w:t xml:space="preserve"> </w:t>
      </w:r>
      <w:r w:rsidR="003957C5" w:rsidRPr="003957C5">
        <w:rPr>
          <w:lang w:val="fr-BE"/>
        </w:rPr>
        <w:t>A moyen terme, il y a une baisse structurelle de la rentabilité. La fiscalité, les coûts salariaux et les coûts d’énergie ont augmenté de façon significative</w:t>
      </w:r>
      <w:r w:rsidR="003957C5">
        <w:rPr>
          <w:lang w:val="fr-BE"/>
        </w:rPr>
        <w:t xml:space="preserve"> (infra)</w:t>
      </w:r>
      <w:r w:rsidR="003957C5" w:rsidRPr="003957C5">
        <w:rPr>
          <w:lang w:val="fr-BE"/>
        </w:rPr>
        <w:t xml:space="preserve">. </w:t>
      </w:r>
    </w:p>
    <w:p w:rsidR="0079174C" w:rsidRDefault="006C70DD" w:rsidP="0079174C">
      <w:pPr>
        <w:jc w:val="both"/>
        <w:rPr>
          <w:lang w:val="fr-FR"/>
        </w:rPr>
      </w:pPr>
      <w:r w:rsidRPr="00FD0274">
        <w:rPr>
          <w:lang w:val="fr-FR"/>
        </w:rPr>
        <w:t xml:space="preserve">La volatilité </w:t>
      </w:r>
      <w:r w:rsidR="00544649" w:rsidRPr="00FD0274">
        <w:rPr>
          <w:lang w:val="fr-FR"/>
        </w:rPr>
        <w:t>de la</w:t>
      </w:r>
      <w:r w:rsidRPr="00FD0274">
        <w:rPr>
          <w:lang w:val="fr-FR"/>
        </w:rPr>
        <w:t xml:space="preserve"> rentabilité est (partiellement) </w:t>
      </w:r>
      <w:r w:rsidR="00544649" w:rsidRPr="00FD0274">
        <w:rPr>
          <w:lang w:val="fr-FR"/>
        </w:rPr>
        <w:t>expliquée</w:t>
      </w:r>
      <w:r w:rsidRPr="00FD0274">
        <w:rPr>
          <w:lang w:val="fr-FR"/>
        </w:rPr>
        <w:t xml:space="preserve"> par la volatilité des prix des matières premières. Après 2005</w:t>
      </w:r>
      <w:r w:rsidR="006A74C3" w:rsidRPr="00FD0274">
        <w:rPr>
          <w:lang w:val="fr-FR"/>
        </w:rPr>
        <w:t>,</w:t>
      </w:r>
      <w:r w:rsidRPr="00FD0274">
        <w:rPr>
          <w:lang w:val="fr-FR"/>
        </w:rPr>
        <w:t xml:space="preserve"> les prix des matières premières ont commencé à augmenter </w:t>
      </w:r>
      <w:r w:rsidR="00E338FF" w:rsidRPr="00FD0274">
        <w:rPr>
          <w:lang w:val="fr-FR"/>
        </w:rPr>
        <w:t>fortement et la rentabilité a diminué</w:t>
      </w:r>
      <w:r w:rsidRPr="00FD0274">
        <w:rPr>
          <w:lang w:val="fr-FR"/>
        </w:rPr>
        <w:t xml:space="preserve">. Inversement, lorsque les marchés des produits de base </w:t>
      </w:r>
      <w:r w:rsidR="006A74C3" w:rsidRPr="00FD0274">
        <w:rPr>
          <w:lang w:val="fr-FR"/>
        </w:rPr>
        <w:t xml:space="preserve">ont été </w:t>
      </w:r>
      <w:r w:rsidRPr="00FD0274">
        <w:rPr>
          <w:lang w:val="fr-FR"/>
        </w:rPr>
        <w:t>assouplis en 2009, la rentabilité a augmenté.</w:t>
      </w:r>
      <w:r>
        <w:rPr>
          <w:lang w:val="fr-FR"/>
        </w:rPr>
        <w:t xml:space="preserve"> </w:t>
      </w:r>
    </w:p>
    <w:p w:rsidR="003957C5" w:rsidRDefault="003957C5" w:rsidP="0079174C">
      <w:pPr>
        <w:jc w:val="both"/>
        <w:rPr>
          <w:lang w:val="fr-FR"/>
        </w:rPr>
      </w:pPr>
      <w:r w:rsidRPr="003957C5">
        <w:rPr>
          <w:lang w:val="fr-FR"/>
        </w:rPr>
        <w:t>Contrairement aux prix des matières premières, les coûts de la main-d'œuvre et les coûts de l’énergie (via les surcoûts), sont fortement influencés par la politique (fiscale) du gouvernement.</w:t>
      </w:r>
    </w:p>
    <w:p w:rsidR="007E59A6" w:rsidRDefault="00C7072B" w:rsidP="0079174C">
      <w:pPr>
        <w:jc w:val="both"/>
        <w:rPr>
          <w:lang w:val="fr-FR"/>
        </w:rPr>
      </w:pPr>
      <w:r>
        <w:rPr>
          <w:noProof/>
          <w:lang w:eastAsia="nl-BE"/>
        </w:rPr>
        <w:drawing>
          <wp:inline distT="0" distB="0" distL="0" distR="0" wp14:anchorId="78F9DBAE" wp14:editId="246DA3EA">
            <wp:extent cx="5760000" cy="3240000"/>
            <wp:effectExtent l="0" t="0" r="12700" b="1778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B34DB" w:rsidRDefault="00090358" w:rsidP="00B10315">
      <w:pPr>
        <w:jc w:val="both"/>
        <w:rPr>
          <w:lang w:val="fr-FR"/>
        </w:rPr>
      </w:pPr>
      <w:r w:rsidRPr="00771434">
        <w:rPr>
          <w:b/>
          <w:sz w:val="18"/>
          <w:szCs w:val="18"/>
          <w:lang w:val="fr-FR"/>
        </w:rPr>
        <w:t xml:space="preserve">Source : BNB </w:t>
      </w:r>
      <w:r w:rsidR="001E6165">
        <w:rPr>
          <w:b/>
          <w:sz w:val="18"/>
          <w:szCs w:val="18"/>
          <w:lang w:val="fr-FR"/>
        </w:rPr>
        <w:t>(comptes nationaux ; SEC 2010)</w:t>
      </w:r>
    </w:p>
    <w:p w:rsidR="00EB34DB" w:rsidRDefault="00EB34DB" w:rsidP="00B10315">
      <w:pPr>
        <w:jc w:val="both"/>
        <w:rPr>
          <w:lang w:val="fr-FR"/>
        </w:rPr>
      </w:pPr>
    </w:p>
    <w:p w:rsidR="00EB34DB" w:rsidRDefault="00EB34DB" w:rsidP="00B10315">
      <w:pPr>
        <w:jc w:val="both"/>
        <w:rPr>
          <w:lang w:val="fr-FR"/>
        </w:rPr>
      </w:pPr>
    </w:p>
    <w:p w:rsidR="00EB34DB" w:rsidRDefault="00EB34DB" w:rsidP="00B10315">
      <w:pPr>
        <w:jc w:val="both"/>
        <w:rPr>
          <w:lang w:val="fr-FR"/>
        </w:rPr>
      </w:pPr>
    </w:p>
    <w:p w:rsidR="00EB34DB" w:rsidRDefault="00EB34DB" w:rsidP="00B10315">
      <w:pPr>
        <w:jc w:val="both"/>
        <w:rPr>
          <w:lang w:val="fr-FR"/>
        </w:rPr>
      </w:pPr>
    </w:p>
    <w:p w:rsidR="00633CDD" w:rsidRDefault="00633CDD" w:rsidP="00B10315">
      <w:pPr>
        <w:jc w:val="both"/>
        <w:rPr>
          <w:lang w:val="fr-FR"/>
        </w:rPr>
      </w:pPr>
    </w:p>
    <w:p w:rsidR="00EB34DB" w:rsidRDefault="00EB34DB" w:rsidP="00B10315">
      <w:pPr>
        <w:jc w:val="both"/>
        <w:rPr>
          <w:lang w:val="fr-FR"/>
        </w:rPr>
      </w:pPr>
    </w:p>
    <w:p w:rsidR="00EB34DB" w:rsidRDefault="00EB34DB" w:rsidP="00B10315">
      <w:pPr>
        <w:jc w:val="both"/>
        <w:rPr>
          <w:lang w:val="fr-FR"/>
        </w:rPr>
      </w:pPr>
    </w:p>
    <w:p w:rsidR="00DA1FB2" w:rsidRDefault="00DA1FB2" w:rsidP="00D11C3F">
      <w:pPr>
        <w:pStyle w:val="Heading2"/>
        <w:numPr>
          <w:ilvl w:val="1"/>
          <w:numId w:val="2"/>
        </w:numPr>
        <w:spacing w:before="0"/>
        <w:rPr>
          <w:lang w:val="fr-FR"/>
        </w:rPr>
      </w:pPr>
      <w:bookmarkStart w:id="7" w:name="_Toc431453525"/>
      <w:r>
        <w:rPr>
          <w:lang w:val="fr-FR"/>
        </w:rPr>
        <w:t>Compétitivité : fiscalité</w:t>
      </w:r>
      <w:bookmarkEnd w:id="7"/>
    </w:p>
    <w:p w:rsidR="00423E63" w:rsidRDefault="00423E63" w:rsidP="00D11C3F">
      <w:pPr>
        <w:spacing w:after="0"/>
        <w:jc w:val="both"/>
        <w:rPr>
          <w:lang w:val="fr-BE"/>
        </w:rPr>
      </w:pPr>
    </w:p>
    <w:p w:rsidR="00AB562A" w:rsidRPr="00AB562A" w:rsidRDefault="00423E63" w:rsidP="00EF294E">
      <w:pPr>
        <w:jc w:val="both"/>
        <w:rPr>
          <w:lang w:val="fr-BE"/>
        </w:rPr>
      </w:pPr>
      <w:r w:rsidRPr="00AB562A">
        <w:rPr>
          <w:lang w:val="fr-BE"/>
        </w:rPr>
        <w:t>Depuis 200</w:t>
      </w:r>
      <w:r w:rsidR="005B13A9">
        <w:rPr>
          <w:lang w:val="fr-BE"/>
        </w:rPr>
        <w:t>6</w:t>
      </w:r>
      <w:r w:rsidRPr="00AB562A">
        <w:rPr>
          <w:lang w:val="fr-BE"/>
        </w:rPr>
        <w:t xml:space="preserve">, la charge fiscale sur l'industrie alimentaire wallonne </w:t>
      </w:r>
      <w:r w:rsidR="00FC418D" w:rsidRPr="00AB562A">
        <w:rPr>
          <w:lang w:val="fr-BE"/>
        </w:rPr>
        <w:t xml:space="preserve">a nettement augmenté. Sur </w:t>
      </w:r>
      <w:r w:rsidRPr="00AB562A">
        <w:rPr>
          <w:lang w:val="fr-BE"/>
        </w:rPr>
        <w:t xml:space="preserve">base de calculs </w:t>
      </w:r>
      <w:r w:rsidR="00853717" w:rsidRPr="00AB562A">
        <w:rPr>
          <w:lang w:val="fr-BE"/>
        </w:rPr>
        <w:t>via</w:t>
      </w:r>
      <w:r w:rsidRPr="00AB562A">
        <w:rPr>
          <w:lang w:val="fr-BE"/>
        </w:rPr>
        <w:t xml:space="preserve"> Belfirst, </w:t>
      </w:r>
      <w:r w:rsidR="00FC418D" w:rsidRPr="00AB562A">
        <w:rPr>
          <w:lang w:val="fr-BE"/>
        </w:rPr>
        <w:t>on constate que les cotisations patronales ont augmenté de</w:t>
      </w:r>
      <w:r w:rsidRPr="00AB562A">
        <w:rPr>
          <w:lang w:val="fr-BE"/>
        </w:rPr>
        <w:t xml:space="preserve"> 1</w:t>
      </w:r>
      <w:r w:rsidR="005B13A9">
        <w:rPr>
          <w:lang w:val="fr-BE"/>
        </w:rPr>
        <w:t>42,6</w:t>
      </w:r>
      <w:r w:rsidR="00FC418D" w:rsidRPr="00AB562A">
        <w:rPr>
          <w:lang w:val="fr-BE"/>
        </w:rPr>
        <w:t xml:space="preserve"> millions en 200</w:t>
      </w:r>
      <w:r w:rsidR="005B13A9">
        <w:rPr>
          <w:lang w:val="fr-BE"/>
        </w:rPr>
        <w:t>6</w:t>
      </w:r>
      <w:r w:rsidR="00FC418D" w:rsidRPr="00AB562A">
        <w:rPr>
          <w:lang w:val="fr-BE"/>
        </w:rPr>
        <w:t xml:space="preserve"> à </w:t>
      </w:r>
      <w:r w:rsidR="005B13A9">
        <w:rPr>
          <w:lang w:val="fr-BE"/>
        </w:rPr>
        <w:t>208,8</w:t>
      </w:r>
      <w:r w:rsidR="00FC418D" w:rsidRPr="00AB562A">
        <w:rPr>
          <w:lang w:val="fr-BE"/>
        </w:rPr>
        <w:t xml:space="preserve"> millions</w:t>
      </w:r>
      <w:r w:rsidRPr="00AB562A">
        <w:rPr>
          <w:lang w:val="fr-BE"/>
        </w:rPr>
        <w:t xml:space="preserve"> en 201</w:t>
      </w:r>
      <w:r w:rsidR="005B13A9">
        <w:rPr>
          <w:lang w:val="fr-BE"/>
        </w:rPr>
        <w:t>3</w:t>
      </w:r>
      <w:r w:rsidRPr="00AB562A">
        <w:rPr>
          <w:lang w:val="fr-BE"/>
        </w:rPr>
        <w:t>, soit une augmentation de 4</w:t>
      </w:r>
      <w:r w:rsidR="005B13A9">
        <w:rPr>
          <w:lang w:val="fr-BE"/>
        </w:rPr>
        <w:t>6</w:t>
      </w:r>
      <w:r w:rsidRPr="00AB562A">
        <w:rPr>
          <w:lang w:val="fr-BE"/>
        </w:rPr>
        <w:t>,</w:t>
      </w:r>
      <w:r w:rsidR="005B13A9">
        <w:rPr>
          <w:lang w:val="fr-BE"/>
        </w:rPr>
        <w:t>4</w:t>
      </w:r>
      <w:r w:rsidRPr="00AB562A">
        <w:rPr>
          <w:lang w:val="fr-BE"/>
        </w:rPr>
        <w:t xml:space="preserve">%, tandis que le nombre d'employés au cours de cette période </w:t>
      </w:r>
      <w:r w:rsidR="00AD00FB" w:rsidRPr="00AB562A">
        <w:rPr>
          <w:lang w:val="fr-BE"/>
        </w:rPr>
        <w:t>est resté</w:t>
      </w:r>
      <w:r w:rsidRPr="00AB562A">
        <w:rPr>
          <w:lang w:val="fr-BE"/>
        </w:rPr>
        <w:t xml:space="preserve"> </w:t>
      </w:r>
      <w:r w:rsidR="00FC418D" w:rsidRPr="00AB562A">
        <w:rPr>
          <w:lang w:val="fr-BE"/>
        </w:rPr>
        <w:t>presque</w:t>
      </w:r>
      <w:r w:rsidRPr="00AB562A">
        <w:rPr>
          <w:lang w:val="fr-BE"/>
        </w:rPr>
        <w:t xml:space="preserve"> stable. </w:t>
      </w:r>
      <w:r w:rsidR="00FC418D" w:rsidRPr="00AB562A">
        <w:rPr>
          <w:lang w:val="fr-BE"/>
        </w:rPr>
        <w:t>L’i</w:t>
      </w:r>
      <w:r w:rsidRPr="00AB562A">
        <w:rPr>
          <w:lang w:val="fr-BE"/>
        </w:rPr>
        <w:t xml:space="preserve">mpôt sur les </w:t>
      </w:r>
      <w:r w:rsidR="008E698A" w:rsidRPr="00AB562A">
        <w:rPr>
          <w:lang w:val="fr-BE"/>
        </w:rPr>
        <w:t>entreprises</w:t>
      </w:r>
      <w:r w:rsidRPr="00AB562A">
        <w:rPr>
          <w:lang w:val="fr-BE"/>
        </w:rPr>
        <w:t>, malgré le plongeon en 2008 (impact des prix élevés des matières premières sur la rentabilité) a augmenté de 4</w:t>
      </w:r>
      <w:r w:rsidR="005B13A9">
        <w:rPr>
          <w:lang w:val="fr-BE"/>
        </w:rPr>
        <w:t>8</w:t>
      </w:r>
      <w:r w:rsidR="00FC418D" w:rsidRPr="00AB562A">
        <w:rPr>
          <w:lang w:val="fr-BE"/>
        </w:rPr>
        <w:t>,</w:t>
      </w:r>
      <w:r w:rsidR="005B13A9">
        <w:rPr>
          <w:lang w:val="fr-BE"/>
        </w:rPr>
        <w:t>6</w:t>
      </w:r>
      <w:r w:rsidR="00FC418D" w:rsidRPr="00AB562A">
        <w:rPr>
          <w:lang w:val="fr-BE"/>
        </w:rPr>
        <w:t xml:space="preserve"> millions en 200</w:t>
      </w:r>
      <w:r w:rsidR="005B13A9">
        <w:rPr>
          <w:lang w:val="fr-BE"/>
        </w:rPr>
        <w:t>6</w:t>
      </w:r>
      <w:r w:rsidR="00FC418D" w:rsidRPr="00AB562A">
        <w:rPr>
          <w:lang w:val="fr-BE"/>
        </w:rPr>
        <w:t xml:space="preserve"> à 6</w:t>
      </w:r>
      <w:r w:rsidR="005B13A9">
        <w:rPr>
          <w:lang w:val="fr-BE"/>
        </w:rPr>
        <w:t>4</w:t>
      </w:r>
      <w:r w:rsidR="00FC418D" w:rsidRPr="00AB562A">
        <w:rPr>
          <w:lang w:val="fr-BE"/>
        </w:rPr>
        <w:t>,</w:t>
      </w:r>
      <w:r w:rsidR="005B13A9">
        <w:rPr>
          <w:lang w:val="fr-BE"/>
        </w:rPr>
        <w:t>1</w:t>
      </w:r>
      <w:r w:rsidR="00FC418D" w:rsidRPr="00AB562A">
        <w:rPr>
          <w:lang w:val="fr-BE"/>
        </w:rPr>
        <w:t xml:space="preserve"> million</w:t>
      </w:r>
      <w:r w:rsidR="008E698A" w:rsidRPr="00AB562A">
        <w:rPr>
          <w:lang w:val="fr-BE"/>
        </w:rPr>
        <w:t>s</w:t>
      </w:r>
      <w:r w:rsidRPr="00AB562A">
        <w:rPr>
          <w:lang w:val="fr-BE"/>
        </w:rPr>
        <w:t xml:space="preserve"> en 201</w:t>
      </w:r>
      <w:r w:rsidR="005B13A9">
        <w:rPr>
          <w:lang w:val="fr-BE"/>
        </w:rPr>
        <w:t>3</w:t>
      </w:r>
      <w:r w:rsidRPr="00AB562A">
        <w:rPr>
          <w:lang w:val="fr-BE"/>
        </w:rPr>
        <w:t xml:space="preserve">. </w:t>
      </w:r>
      <w:r w:rsidR="00FC418D" w:rsidRPr="00AB562A">
        <w:rPr>
          <w:lang w:val="fr-BE"/>
        </w:rPr>
        <w:t>Le</w:t>
      </w:r>
      <w:r w:rsidRPr="00AB562A">
        <w:rPr>
          <w:lang w:val="fr-BE"/>
        </w:rPr>
        <w:t xml:space="preserve"> </w:t>
      </w:r>
      <w:r w:rsidR="00FC418D" w:rsidRPr="00AB562A">
        <w:rPr>
          <w:lang w:val="fr-BE"/>
        </w:rPr>
        <w:t>précompte professionnel a</w:t>
      </w:r>
      <w:r w:rsidRPr="00AB562A">
        <w:rPr>
          <w:lang w:val="fr-BE"/>
        </w:rPr>
        <w:t xml:space="preserve"> augmenté </w:t>
      </w:r>
      <w:r w:rsidR="00FC418D" w:rsidRPr="00AB562A">
        <w:rPr>
          <w:lang w:val="fr-BE"/>
        </w:rPr>
        <w:t>de 6</w:t>
      </w:r>
      <w:r w:rsidR="005B13A9">
        <w:rPr>
          <w:lang w:val="fr-BE"/>
        </w:rPr>
        <w:t>7</w:t>
      </w:r>
      <w:r w:rsidR="00FC418D" w:rsidRPr="00AB562A">
        <w:rPr>
          <w:lang w:val="fr-BE"/>
        </w:rPr>
        <w:t xml:space="preserve">, </w:t>
      </w:r>
      <w:r w:rsidR="005B13A9">
        <w:rPr>
          <w:lang w:val="fr-BE"/>
        </w:rPr>
        <w:t>8</w:t>
      </w:r>
      <w:r w:rsidR="00FC418D" w:rsidRPr="00AB562A">
        <w:rPr>
          <w:lang w:val="fr-BE"/>
        </w:rPr>
        <w:t xml:space="preserve"> millions d’euro à </w:t>
      </w:r>
      <w:r w:rsidR="005B13A9">
        <w:rPr>
          <w:lang w:val="fr-BE"/>
        </w:rPr>
        <w:t>91</w:t>
      </w:r>
      <w:r w:rsidR="00FC418D" w:rsidRPr="00AB562A">
        <w:rPr>
          <w:lang w:val="fr-BE"/>
        </w:rPr>
        <w:t>,</w:t>
      </w:r>
      <w:r w:rsidR="005B13A9">
        <w:rPr>
          <w:lang w:val="fr-BE"/>
        </w:rPr>
        <w:t>7</w:t>
      </w:r>
      <w:r w:rsidR="00FC418D" w:rsidRPr="00AB562A">
        <w:rPr>
          <w:lang w:val="fr-BE"/>
        </w:rPr>
        <w:t xml:space="preserve"> millions d’e</w:t>
      </w:r>
      <w:r w:rsidRPr="00AB562A">
        <w:rPr>
          <w:lang w:val="fr-BE"/>
        </w:rPr>
        <w:t>uro.</w:t>
      </w:r>
    </w:p>
    <w:p w:rsidR="00DA1FB2" w:rsidRDefault="00C7072B" w:rsidP="007049B0">
      <w:pPr>
        <w:jc w:val="center"/>
        <w:rPr>
          <w:lang w:val="fr-FR"/>
        </w:rPr>
      </w:pPr>
      <w:r>
        <w:rPr>
          <w:noProof/>
          <w:lang w:eastAsia="nl-BE"/>
        </w:rPr>
        <w:drawing>
          <wp:inline distT="0" distB="0" distL="0" distR="0" wp14:anchorId="1D360BAC" wp14:editId="3D6A79C9">
            <wp:extent cx="5760000" cy="3240000"/>
            <wp:effectExtent l="0" t="0" r="12700" b="1778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90358" w:rsidRPr="00B74534" w:rsidRDefault="00090358" w:rsidP="00090358">
      <w:pPr>
        <w:jc w:val="both"/>
        <w:rPr>
          <w:b/>
          <w:sz w:val="18"/>
          <w:szCs w:val="18"/>
          <w:lang w:val="fr-FR"/>
        </w:rPr>
      </w:pPr>
      <w:r w:rsidRPr="00B74534">
        <w:rPr>
          <w:b/>
          <w:sz w:val="18"/>
          <w:szCs w:val="18"/>
          <w:lang w:val="fr-FR"/>
        </w:rPr>
        <w:t xml:space="preserve">Source : </w:t>
      </w:r>
      <w:r>
        <w:rPr>
          <w:b/>
          <w:sz w:val="18"/>
          <w:szCs w:val="18"/>
          <w:lang w:val="fr-FR"/>
        </w:rPr>
        <w:t xml:space="preserve">Belfirst, estimations FEVIA </w:t>
      </w:r>
      <w:r w:rsidR="00973A0F">
        <w:rPr>
          <w:b/>
          <w:sz w:val="18"/>
          <w:szCs w:val="18"/>
          <w:lang w:val="fr-FR"/>
        </w:rPr>
        <w:t>Wallonie</w:t>
      </w:r>
    </w:p>
    <w:p w:rsidR="00090358" w:rsidRDefault="00090358" w:rsidP="00090358">
      <w:pPr>
        <w:rPr>
          <w:lang w:val="fr-FR"/>
        </w:rPr>
      </w:pPr>
    </w:p>
    <w:p w:rsidR="00DA1FB2" w:rsidRDefault="00DA1FB2" w:rsidP="00DA1FB2">
      <w:pPr>
        <w:rPr>
          <w:lang w:val="fr-FR"/>
        </w:rPr>
      </w:pPr>
    </w:p>
    <w:p w:rsidR="00DA1FB2" w:rsidRDefault="00DA1FB2" w:rsidP="00DA1FB2">
      <w:pPr>
        <w:rPr>
          <w:lang w:val="fr-FR"/>
        </w:rPr>
      </w:pPr>
    </w:p>
    <w:p w:rsidR="00DA1FB2" w:rsidRDefault="00DA1FB2" w:rsidP="00DA1FB2">
      <w:pPr>
        <w:rPr>
          <w:lang w:val="fr-FR"/>
        </w:rPr>
      </w:pPr>
    </w:p>
    <w:p w:rsidR="00EB34DB" w:rsidRDefault="00EB34DB" w:rsidP="00DA1FB2">
      <w:pPr>
        <w:rPr>
          <w:lang w:val="fr-FR"/>
        </w:rPr>
      </w:pPr>
    </w:p>
    <w:p w:rsidR="00EB34DB" w:rsidRDefault="00EB34DB" w:rsidP="00DA1FB2">
      <w:pPr>
        <w:rPr>
          <w:lang w:val="fr-FR"/>
        </w:rPr>
      </w:pPr>
    </w:p>
    <w:p w:rsidR="00EB34DB" w:rsidRDefault="00EB34DB" w:rsidP="00DA1FB2">
      <w:pPr>
        <w:rPr>
          <w:lang w:val="fr-FR"/>
        </w:rPr>
      </w:pPr>
    </w:p>
    <w:p w:rsidR="00EB34DB" w:rsidRDefault="00EB34DB" w:rsidP="00DA1FB2">
      <w:pPr>
        <w:rPr>
          <w:lang w:val="fr-FR"/>
        </w:rPr>
      </w:pPr>
    </w:p>
    <w:p w:rsidR="00DA1FB2" w:rsidRPr="00DA1FB2" w:rsidRDefault="00DA1FB2" w:rsidP="00DA1FB2">
      <w:pPr>
        <w:rPr>
          <w:lang w:val="fr-FR"/>
        </w:rPr>
      </w:pPr>
    </w:p>
    <w:p w:rsidR="00DA1FB2" w:rsidRDefault="00DA1FB2" w:rsidP="00D11C3F">
      <w:pPr>
        <w:pStyle w:val="Heading2"/>
        <w:numPr>
          <w:ilvl w:val="1"/>
          <w:numId w:val="2"/>
        </w:numPr>
        <w:spacing w:before="0"/>
        <w:rPr>
          <w:lang w:val="fr-FR"/>
        </w:rPr>
      </w:pPr>
      <w:bookmarkStart w:id="8" w:name="_Toc431453526"/>
      <w:r>
        <w:rPr>
          <w:lang w:val="fr-FR"/>
        </w:rPr>
        <w:t>Compétitivité : couts salariaux</w:t>
      </w:r>
      <w:bookmarkEnd w:id="8"/>
    </w:p>
    <w:p w:rsidR="00FC418D" w:rsidRDefault="00FC418D" w:rsidP="00D11C3F">
      <w:pPr>
        <w:spacing w:after="0"/>
        <w:jc w:val="both"/>
        <w:rPr>
          <w:lang w:val="fr-BE"/>
        </w:rPr>
      </w:pPr>
    </w:p>
    <w:p w:rsidR="00FC418D" w:rsidRDefault="00FC418D" w:rsidP="00AB562A">
      <w:pPr>
        <w:spacing w:after="0"/>
        <w:jc w:val="both"/>
        <w:rPr>
          <w:lang w:val="fr-BE"/>
        </w:rPr>
      </w:pPr>
      <w:r w:rsidRPr="00AB562A">
        <w:rPr>
          <w:lang w:val="fr-BE"/>
        </w:rPr>
        <w:t>Il n'y a pas de données officielles disponibles concernant</w:t>
      </w:r>
      <w:r w:rsidR="00AD00FB" w:rsidRPr="00AB562A">
        <w:rPr>
          <w:lang w:val="fr-BE"/>
        </w:rPr>
        <w:t xml:space="preserve"> les coûts horaires des employé</w:t>
      </w:r>
      <w:r w:rsidRPr="00AB562A">
        <w:rPr>
          <w:lang w:val="fr-BE"/>
        </w:rPr>
        <w:t xml:space="preserve">s dans l'industrie alimentaire wallonne. Par conséquent, on utilise ici des données belges, qui peuvent </w:t>
      </w:r>
      <w:r w:rsidR="00E87490">
        <w:rPr>
          <w:lang w:val="fr-BE"/>
        </w:rPr>
        <w:t>être extrapolées</w:t>
      </w:r>
      <w:r w:rsidRPr="00AB562A">
        <w:rPr>
          <w:lang w:val="fr-BE"/>
        </w:rPr>
        <w:t xml:space="preserve"> pour l'industrie alimentaire wallonne. </w:t>
      </w:r>
    </w:p>
    <w:p w:rsidR="00ED4AA4" w:rsidRPr="00AB562A" w:rsidRDefault="00322E22" w:rsidP="00120115">
      <w:pPr>
        <w:tabs>
          <w:tab w:val="left" w:pos="1365"/>
        </w:tabs>
        <w:spacing w:after="0"/>
        <w:jc w:val="both"/>
        <w:rPr>
          <w:lang w:val="fr-BE"/>
        </w:rPr>
      </w:pPr>
      <w:r>
        <w:rPr>
          <w:lang w:val="fr-BE"/>
        </w:rPr>
        <w:tab/>
      </w:r>
    </w:p>
    <w:p w:rsidR="00ED4AA4" w:rsidRDefault="00ED4AA4" w:rsidP="00120115">
      <w:pPr>
        <w:pStyle w:val="ListParagraph"/>
        <w:ind w:left="0"/>
        <w:jc w:val="both"/>
        <w:rPr>
          <w:lang w:val="fr-BE"/>
        </w:rPr>
      </w:pPr>
      <w:r w:rsidRPr="00ED4AA4">
        <w:rPr>
          <w:lang w:val="fr-BE"/>
        </w:rPr>
        <w:t>Depuis 2005 le handicap salarial par rapport à nos trois pays voisins a considérablement augmenté. En 2012, le coût salarial horaire d'une entreprise alimentaire belge était de 23,3% supérieur au coût salarial horaire d'une entreprise alimentaire chez nos voisins directs. Selon les projections du Conseil Central de l'Economie, le handicap salarial devrait encore augmen</w:t>
      </w:r>
      <w:r>
        <w:rPr>
          <w:lang w:val="fr-BE"/>
        </w:rPr>
        <w:t xml:space="preserve">ter légèrement en 2013, puis se </w:t>
      </w:r>
      <w:r w:rsidRPr="00ED4AA4">
        <w:rPr>
          <w:lang w:val="fr-BE"/>
        </w:rPr>
        <w:t>réduire quelque peu e</w:t>
      </w:r>
      <w:r>
        <w:rPr>
          <w:lang w:val="fr-BE"/>
        </w:rPr>
        <w:t>n 2014 pour atteindre les 21,8%, un niveau insoutenable.</w:t>
      </w:r>
    </w:p>
    <w:p w:rsidR="00ED4AA4" w:rsidRDefault="00ED4AA4" w:rsidP="00120115">
      <w:pPr>
        <w:pStyle w:val="ListParagraph"/>
        <w:ind w:left="0"/>
        <w:rPr>
          <w:lang w:val="fr-BE"/>
        </w:rPr>
      </w:pPr>
    </w:p>
    <w:p w:rsidR="00ED4AA4" w:rsidRDefault="00ED4AA4" w:rsidP="00847718">
      <w:pPr>
        <w:pStyle w:val="ListParagraph"/>
        <w:ind w:left="0"/>
        <w:jc w:val="center"/>
        <w:rPr>
          <w:lang w:val="fr-BE"/>
        </w:rPr>
      </w:pPr>
    </w:p>
    <w:p w:rsidR="00DA1FB2" w:rsidRDefault="00C7072B" w:rsidP="00847718">
      <w:pPr>
        <w:pStyle w:val="ListParagraph"/>
        <w:ind w:left="0"/>
        <w:jc w:val="center"/>
        <w:rPr>
          <w:lang w:val="fr-FR"/>
        </w:rPr>
      </w:pPr>
      <w:r>
        <w:rPr>
          <w:noProof/>
          <w:lang w:eastAsia="nl-BE"/>
        </w:rPr>
        <w:drawing>
          <wp:inline distT="0" distB="0" distL="0" distR="0" wp14:anchorId="38CEE59E" wp14:editId="744BB0D1">
            <wp:extent cx="5760000" cy="3240000"/>
            <wp:effectExtent l="0" t="0" r="12700" b="1778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23503" w:rsidRPr="00090358" w:rsidRDefault="00AF0008" w:rsidP="00090358">
      <w:pPr>
        <w:jc w:val="both"/>
        <w:rPr>
          <w:b/>
          <w:sz w:val="18"/>
          <w:szCs w:val="18"/>
          <w:lang w:val="en-US"/>
        </w:rPr>
      </w:pPr>
      <w:r w:rsidRPr="00090358">
        <w:rPr>
          <w:b/>
          <w:sz w:val="18"/>
          <w:szCs w:val="18"/>
          <w:lang w:val="en-US"/>
        </w:rPr>
        <w:t>Source:</w:t>
      </w:r>
      <w:r w:rsidR="00090358" w:rsidRPr="00090358">
        <w:rPr>
          <w:b/>
          <w:sz w:val="18"/>
          <w:szCs w:val="18"/>
          <w:lang w:val="en-US"/>
        </w:rPr>
        <w:t xml:space="preserve"> Eurostat (Short-Term Business Statistics)</w:t>
      </w:r>
    </w:p>
    <w:p w:rsidR="00322E22" w:rsidRPr="00847718" w:rsidRDefault="00847718" w:rsidP="00120115">
      <w:pPr>
        <w:pStyle w:val="ListParagraph"/>
        <w:spacing w:after="0"/>
        <w:ind w:left="0"/>
        <w:jc w:val="both"/>
        <w:rPr>
          <w:lang w:val="fr-BE"/>
        </w:rPr>
      </w:pPr>
      <w:r w:rsidRPr="00AB562A">
        <w:rPr>
          <w:lang w:val="fr-BE"/>
        </w:rPr>
        <w:t xml:space="preserve">L’augmentation de la productivité est invoquée comme argument pour minimaliser le handicap salarial. La productivité dans l'industrie alimentaire a augmenté. Néanmoins, il est incorrect et même dangereux d'en déduire </w:t>
      </w:r>
      <w:r w:rsidR="001E5FAE" w:rsidRPr="00AB562A">
        <w:rPr>
          <w:lang w:val="fr-BE"/>
        </w:rPr>
        <w:t>que le</w:t>
      </w:r>
      <w:r w:rsidRPr="00AB562A">
        <w:rPr>
          <w:lang w:val="fr-BE"/>
        </w:rPr>
        <w:t xml:space="preserve"> coût du travail</w:t>
      </w:r>
      <w:r w:rsidR="001E5FAE" w:rsidRPr="00AB562A">
        <w:rPr>
          <w:lang w:val="fr-BE"/>
        </w:rPr>
        <w:t xml:space="preserve"> n’est donc pas un problème</w:t>
      </w:r>
      <w:r w:rsidRPr="00AB562A">
        <w:rPr>
          <w:lang w:val="fr-BE"/>
        </w:rPr>
        <w:t>.</w:t>
      </w:r>
    </w:p>
    <w:p w:rsidR="009C20C7" w:rsidRPr="00847718" w:rsidRDefault="009C20C7" w:rsidP="00120115">
      <w:pPr>
        <w:pStyle w:val="ListParagraph"/>
        <w:spacing w:after="0"/>
        <w:ind w:left="0"/>
        <w:rPr>
          <w:lang w:val="fr-BE"/>
        </w:rPr>
      </w:pPr>
    </w:p>
    <w:p w:rsidR="00300E3F" w:rsidRPr="00EF294E" w:rsidRDefault="00084E86">
      <w:pPr>
        <w:autoSpaceDE w:val="0"/>
        <w:autoSpaceDN w:val="0"/>
        <w:adjustRightInd w:val="0"/>
        <w:spacing w:after="0"/>
        <w:jc w:val="both"/>
        <w:rPr>
          <w:rFonts w:cs="BreuerCondensed-Light"/>
          <w:lang w:val="fr-BE"/>
        </w:rPr>
      </w:pPr>
      <w:r w:rsidRPr="00EF294E">
        <w:rPr>
          <w:rFonts w:cs="BreuerCondensed-Light"/>
          <w:lang w:val="fr-BE"/>
        </w:rPr>
        <w:t>Les « Real Unit Labor Costs »</w:t>
      </w:r>
      <w:r w:rsidR="00300E3F" w:rsidRPr="00EF294E">
        <w:rPr>
          <w:rFonts w:cs="BreuerCondensed-Light"/>
          <w:lang w:val="fr-BE"/>
        </w:rPr>
        <w:t xml:space="preserve"> (RULC) sont en hausse depuis 20</w:t>
      </w:r>
      <w:r w:rsidR="00497F5D" w:rsidRPr="00EF294E">
        <w:rPr>
          <w:rFonts w:cs="BreuerCondensed-Light"/>
          <w:lang w:val="fr-BE"/>
        </w:rPr>
        <w:t>05, surtout depuis 2010 (fig. 1</w:t>
      </w:r>
      <w:r w:rsidR="00322E22">
        <w:rPr>
          <w:rFonts w:cs="BreuerCondensed-Light"/>
          <w:lang w:val="fr-BE"/>
        </w:rPr>
        <w:t>4</w:t>
      </w:r>
      <w:r w:rsidR="00300E3F" w:rsidRPr="00EF294E">
        <w:rPr>
          <w:rFonts w:cs="BreuerCondensed-Light"/>
          <w:lang w:val="fr-BE"/>
        </w:rPr>
        <w:t xml:space="preserve">). </w:t>
      </w:r>
      <w:r w:rsidR="00D11C3F" w:rsidRPr="00EF294E">
        <w:rPr>
          <w:rFonts w:cs="BreuerCondensed-Light"/>
          <w:lang w:val="fr-BE"/>
        </w:rPr>
        <w:t xml:space="preserve"> </w:t>
      </w:r>
      <w:r w:rsidR="00300E3F" w:rsidRPr="00EF294E">
        <w:rPr>
          <w:rFonts w:cs="BreuerCondensed-Light"/>
          <w:lang w:val="fr-BE"/>
        </w:rPr>
        <w:t>L</w:t>
      </w:r>
      <w:r w:rsidR="002648B3" w:rsidRPr="00EF294E">
        <w:rPr>
          <w:rFonts w:cs="BreuerCondensed-Light"/>
          <w:lang w:val="fr-BE"/>
        </w:rPr>
        <w:t>e</w:t>
      </w:r>
      <w:r w:rsidR="00300E3F" w:rsidRPr="00EF294E">
        <w:rPr>
          <w:rFonts w:cs="BreuerCondensed-Light"/>
          <w:lang w:val="fr-BE"/>
        </w:rPr>
        <w:t xml:space="preserve">s RULC </w:t>
      </w:r>
      <w:r w:rsidR="00853717" w:rsidRPr="00EF294E">
        <w:rPr>
          <w:rFonts w:cs="BreuerCondensed-Light"/>
          <w:lang w:val="fr-BE"/>
        </w:rPr>
        <w:t>expriment la part de la valeur ajoutée de l’industrie alimentaire attribuée au facteur « travail ».</w:t>
      </w:r>
      <w:r w:rsidR="002648B3" w:rsidRPr="00EF294E">
        <w:rPr>
          <w:rFonts w:cs="BreuerCondensed-Light"/>
          <w:lang w:val="fr-BE"/>
        </w:rPr>
        <w:t xml:space="preserve"> </w:t>
      </w:r>
      <w:r w:rsidR="00300E3F" w:rsidRPr="00EF294E">
        <w:rPr>
          <w:rFonts w:cs="BreuerCondensed-Light"/>
          <w:lang w:val="fr-BE"/>
        </w:rPr>
        <w:t xml:space="preserve"> Si la part </w:t>
      </w:r>
      <w:r w:rsidR="00853717" w:rsidRPr="00EF294E">
        <w:rPr>
          <w:rFonts w:cs="BreuerCondensed-Light"/>
          <w:lang w:val="fr-BE"/>
        </w:rPr>
        <w:t>du facteur « travail »augmente dans la valeur ajoutée, il y a, ceteris paribus,</w:t>
      </w:r>
      <w:r w:rsidR="00300E3F" w:rsidRPr="00EF294E">
        <w:rPr>
          <w:rFonts w:cs="BreuerCondensed-Light"/>
          <w:lang w:val="fr-BE"/>
        </w:rPr>
        <w:t xml:space="preserve"> un e</w:t>
      </w:r>
      <w:r w:rsidR="002648B3" w:rsidRPr="00EF294E">
        <w:rPr>
          <w:rFonts w:cs="BreuerCondensed-Light"/>
          <w:lang w:val="fr-BE"/>
        </w:rPr>
        <w:t>ffet négatif sur la rentabilité. Par conséquent, il est clair que l</w:t>
      </w:r>
      <w:r w:rsidR="00300E3F" w:rsidRPr="00EF294E">
        <w:rPr>
          <w:rFonts w:cs="BreuerCondensed-Light"/>
          <w:lang w:val="fr-BE"/>
        </w:rPr>
        <w:t>e</w:t>
      </w:r>
      <w:r w:rsidR="00853717" w:rsidRPr="00EF294E">
        <w:rPr>
          <w:rFonts w:cs="BreuerCondensed-Light"/>
          <w:lang w:val="fr-BE"/>
        </w:rPr>
        <w:t>s</w:t>
      </w:r>
      <w:r w:rsidR="00300E3F" w:rsidRPr="00EF294E">
        <w:rPr>
          <w:rFonts w:cs="BreuerCondensed-Light"/>
          <w:lang w:val="fr-BE"/>
        </w:rPr>
        <w:t xml:space="preserve"> gain</w:t>
      </w:r>
      <w:r w:rsidR="00853717" w:rsidRPr="00EF294E">
        <w:rPr>
          <w:rFonts w:cs="BreuerCondensed-Light"/>
          <w:lang w:val="fr-BE"/>
        </w:rPr>
        <w:t>s</w:t>
      </w:r>
      <w:r w:rsidR="00300E3F" w:rsidRPr="00EF294E">
        <w:rPr>
          <w:rFonts w:cs="BreuerCondensed-Light"/>
          <w:lang w:val="fr-BE"/>
        </w:rPr>
        <w:t xml:space="preserve"> de productivité</w:t>
      </w:r>
      <w:r w:rsidR="001D6C4C" w:rsidRPr="00EF294E">
        <w:rPr>
          <w:rFonts w:cs="BreuerCondensed-Light"/>
          <w:lang w:val="fr-BE"/>
        </w:rPr>
        <w:t xml:space="preserve"> sont convertis en paiement de coûts salariaux de plus en plus élevés</w:t>
      </w:r>
      <w:r w:rsidR="002648B3" w:rsidRPr="00EF294E">
        <w:rPr>
          <w:rFonts w:cs="BreuerCondensed-Light"/>
          <w:lang w:val="fr-BE"/>
        </w:rPr>
        <w:t xml:space="preserve">. </w:t>
      </w:r>
      <w:r w:rsidR="00300E3F" w:rsidRPr="00EF294E">
        <w:rPr>
          <w:rFonts w:cs="BreuerCondensed-Light"/>
          <w:lang w:val="fr-BE"/>
        </w:rPr>
        <w:t xml:space="preserve">L'augmentation des coûts salariaux horaires </w:t>
      </w:r>
      <w:r w:rsidR="00E5601E" w:rsidRPr="00EF294E">
        <w:rPr>
          <w:rFonts w:cs="BreuerCondensed-Light"/>
          <w:lang w:val="fr-BE"/>
        </w:rPr>
        <w:t>est donc</w:t>
      </w:r>
      <w:r w:rsidR="00300E3F" w:rsidRPr="00EF294E">
        <w:rPr>
          <w:rFonts w:cs="BreuerCondensed-Light"/>
          <w:lang w:val="fr-BE"/>
        </w:rPr>
        <w:t xml:space="preserve"> clairement un facteur </w:t>
      </w:r>
      <w:r w:rsidR="00E5601E" w:rsidRPr="00EF294E">
        <w:rPr>
          <w:rFonts w:cs="BreuerCondensed-Light"/>
          <w:lang w:val="fr-BE"/>
        </w:rPr>
        <w:t xml:space="preserve">explicatif </w:t>
      </w:r>
      <w:r w:rsidR="00300E3F" w:rsidRPr="00EF294E">
        <w:rPr>
          <w:rFonts w:cs="BreuerCondensed-Light"/>
          <w:lang w:val="fr-BE"/>
        </w:rPr>
        <w:t>important d</w:t>
      </w:r>
      <w:r w:rsidR="00E5601E" w:rsidRPr="00EF294E">
        <w:rPr>
          <w:rFonts w:cs="BreuerCondensed-Light"/>
          <w:lang w:val="fr-BE"/>
        </w:rPr>
        <w:t>e</w:t>
      </w:r>
      <w:r w:rsidR="00300E3F" w:rsidRPr="00EF294E">
        <w:rPr>
          <w:rFonts w:cs="BreuerCondensed-Light"/>
          <w:lang w:val="fr-BE"/>
        </w:rPr>
        <w:t xml:space="preserve"> la baisse de rentabilité structurelle.</w:t>
      </w:r>
    </w:p>
    <w:p w:rsidR="009C20C7" w:rsidRPr="001321BC" w:rsidRDefault="009C20C7" w:rsidP="009C20C7">
      <w:pPr>
        <w:pStyle w:val="ListParagraph"/>
        <w:ind w:left="0"/>
        <w:rPr>
          <w:lang w:val="fr-FR"/>
        </w:rPr>
      </w:pPr>
    </w:p>
    <w:p w:rsidR="00E23503" w:rsidRDefault="00C7072B" w:rsidP="00E23503">
      <w:pPr>
        <w:pStyle w:val="ListParagraph"/>
        <w:ind w:left="360"/>
        <w:jc w:val="center"/>
        <w:rPr>
          <w:lang w:val="fr-FR"/>
        </w:rPr>
      </w:pPr>
      <w:r>
        <w:rPr>
          <w:noProof/>
          <w:lang w:eastAsia="nl-BE"/>
        </w:rPr>
        <w:drawing>
          <wp:inline distT="0" distB="0" distL="0" distR="0" wp14:anchorId="16CB3AA3" wp14:editId="0D954AAC">
            <wp:extent cx="5760000" cy="3240000"/>
            <wp:effectExtent l="0" t="0" r="12700" b="1778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71434" w:rsidRPr="000C1140" w:rsidRDefault="00771434" w:rsidP="00771434">
      <w:pPr>
        <w:jc w:val="both"/>
        <w:rPr>
          <w:b/>
          <w:sz w:val="18"/>
          <w:szCs w:val="18"/>
          <w:lang w:val="fr-BE"/>
        </w:rPr>
      </w:pPr>
      <w:r w:rsidRPr="000C1140">
        <w:rPr>
          <w:b/>
          <w:sz w:val="18"/>
          <w:szCs w:val="18"/>
          <w:lang w:val="fr-BE"/>
        </w:rPr>
        <w:t>Source : BNB (Comptes Nationaux</w:t>
      </w:r>
      <w:r w:rsidR="000C1140" w:rsidRPr="000C1140">
        <w:rPr>
          <w:b/>
          <w:sz w:val="18"/>
          <w:szCs w:val="18"/>
          <w:lang w:val="fr-BE"/>
        </w:rPr>
        <w:t>, SEC2010</w:t>
      </w:r>
      <w:r w:rsidRPr="000C1140">
        <w:rPr>
          <w:b/>
          <w:sz w:val="18"/>
          <w:szCs w:val="18"/>
          <w:lang w:val="fr-BE"/>
        </w:rPr>
        <w:t>)</w:t>
      </w:r>
    </w:p>
    <w:p w:rsidR="00DA1FB2" w:rsidRDefault="002648B3" w:rsidP="00FD0274">
      <w:pPr>
        <w:pStyle w:val="ListParagraph"/>
        <w:ind w:left="0"/>
        <w:jc w:val="both"/>
        <w:rPr>
          <w:lang w:val="fr-BE"/>
        </w:rPr>
      </w:pPr>
      <w:r w:rsidRPr="00EF294E">
        <w:rPr>
          <w:lang w:val="fr-BE"/>
        </w:rPr>
        <w:t>La compétitivité de l’industrie wallonne est donc sou</w:t>
      </w:r>
      <w:r w:rsidR="00651B4D" w:rsidRPr="00EF294E">
        <w:rPr>
          <w:lang w:val="fr-BE"/>
        </w:rPr>
        <w:t>mise à</w:t>
      </w:r>
      <w:r w:rsidRPr="00EF294E">
        <w:rPr>
          <w:lang w:val="fr-BE"/>
        </w:rPr>
        <w:t xml:space="preserve"> une</w:t>
      </w:r>
      <w:r w:rsidR="00E5601E" w:rsidRPr="00EF294E">
        <w:rPr>
          <w:lang w:val="fr-BE"/>
        </w:rPr>
        <w:t xml:space="preserve"> forte</w:t>
      </w:r>
      <w:r w:rsidRPr="00EF294E">
        <w:rPr>
          <w:lang w:val="fr-BE"/>
        </w:rPr>
        <w:t xml:space="preserve"> pression. </w:t>
      </w:r>
      <w:r w:rsidR="00084E86" w:rsidRPr="00EF294E">
        <w:rPr>
          <w:lang w:val="fr-BE"/>
        </w:rPr>
        <w:t>T</w:t>
      </w:r>
      <w:r w:rsidRPr="00EF294E">
        <w:rPr>
          <w:lang w:val="fr-BE"/>
        </w:rPr>
        <w:t>rois raisons supplémentaires</w:t>
      </w:r>
      <w:r w:rsidR="00651B4D" w:rsidRPr="00EF294E">
        <w:rPr>
          <w:lang w:val="fr-BE"/>
        </w:rPr>
        <w:t xml:space="preserve"> confirment le fait qu’il</w:t>
      </w:r>
      <w:r w:rsidRPr="00EF294E">
        <w:rPr>
          <w:lang w:val="fr-BE"/>
        </w:rPr>
        <w:t xml:space="preserve"> n’est pas correct de minimiser le handicap salarial. (1) Une augmentation (réel</w:t>
      </w:r>
      <w:r w:rsidR="00651B4D" w:rsidRPr="00EF294E">
        <w:rPr>
          <w:lang w:val="fr-BE"/>
        </w:rPr>
        <w:t>le) de la productivité n’</w:t>
      </w:r>
      <w:r w:rsidRPr="00EF294E">
        <w:rPr>
          <w:lang w:val="fr-BE"/>
        </w:rPr>
        <w:t>est pas garanti</w:t>
      </w:r>
      <w:r w:rsidR="00651B4D" w:rsidRPr="00EF294E">
        <w:rPr>
          <w:lang w:val="fr-BE"/>
        </w:rPr>
        <w:t>e</w:t>
      </w:r>
      <w:r w:rsidRPr="00EF294E">
        <w:rPr>
          <w:lang w:val="fr-BE"/>
        </w:rPr>
        <w:t xml:space="preserve"> à l'avenir. (2) Une augmentation de la productivité réelle risque d’être accompagné</w:t>
      </w:r>
      <w:r w:rsidR="00651B4D" w:rsidRPr="00EF294E">
        <w:rPr>
          <w:lang w:val="fr-BE"/>
        </w:rPr>
        <w:t>e</w:t>
      </w:r>
      <w:r w:rsidR="00084E86" w:rsidRPr="00EF294E">
        <w:rPr>
          <w:lang w:val="fr-BE"/>
        </w:rPr>
        <w:t xml:space="preserve"> par un coût social élevé </w:t>
      </w:r>
      <w:r w:rsidR="00497F5D" w:rsidRPr="00EF294E">
        <w:rPr>
          <w:lang w:val="fr-BE"/>
        </w:rPr>
        <w:t>(substitution  capital-</w:t>
      </w:r>
      <w:r w:rsidR="00FD0274" w:rsidRPr="00EF294E">
        <w:rPr>
          <w:lang w:val="fr-BE"/>
        </w:rPr>
        <w:t>travail). (3) La concurrence des pays de l’Europe de</w:t>
      </w:r>
      <w:r w:rsidR="00084E86" w:rsidRPr="00EF294E">
        <w:rPr>
          <w:lang w:val="fr-BE"/>
        </w:rPr>
        <w:t xml:space="preserve"> l'E</w:t>
      </w:r>
      <w:r w:rsidRPr="00EF294E">
        <w:rPr>
          <w:lang w:val="fr-BE"/>
        </w:rPr>
        <w:t xml:space="preserve">st est féroce. Le coût horaire total d'un travailleur dans l'industrie alimentaire polonaise représente moins de 5 euros par heure. Ceci </w:t>
      </w:r>
      <w:r w:rsidR="00FD0274" w:rsidRPr="00EF294E">
        <w:rPr>
          <w:lang w:val="fr-BE"/>
        </w:rPr>
        <w:t>n’</w:t>
      </w:r>
      <w:r w:rsidRPr="00EF294E">
        <w:rPr>
          <w:lang w:val="fr-BE"/>
        </w:rPr>
        <w:t>est</w:t>
      </w:r>
      <w:r w:rsidR="00FD0274" w:rsidRPr="00EF294E">
        <w:rPr>
          <w:lang w:val="fr-BE"/>
        </w:rPr>
        <w:t xml:space="preserve"> pas</w:t>
      </w:r>
      <w:r w:rsidRPr="00EF294E">
        <w:rPr>
          <w:lang w:val="fr-BE"/>
        </w:rPr>
        <w:t xml:space="preserve"> </w:t>
      </w:r>
      <w:r w:rsidR="00651B4D" w:rsidRPr="00EF294E">
        <w:rPr>
          <w:lang w:val="fr-BE"/>
        </w:rPr>
        <w:t xml:space="preserve">suffisamment </w:t>
      </w:r>
      <w:r w:rsidRPr="00EF294E">
        <w:rPr>
          <w:lang w:val="fr-BE"/>
        </w:rPr>
        <w:t>pris en compte dans le débat actuel.</w:t>
      </w:r>
    </w:p>
    <w:p w:rsidR="00322E22" w:rsidRDefault="00322E22" w:rsidP="00FD0274">
      <w:pPr>
        <w:pStyle w:val="ListParagraph"/>
        <w:ind w:left="0"/>
        <w:jc w:val="both"/>
        <w:rPr>
          <w:lang w:val="fr-BE"/>
        </w:rPr>
      </w:pPr>
    </w:p>
    <w:p w:rsidR="00322E22" w:rsidRDefault="00322E22" w:rsidP="00FD0274">
      <w:pPr>
        <w:pStyle w:val="ListParagraph"/>
        <w:ind w:left="0"/>
        <w:jc w:val="both"/>
        <w:rPr>
          <w:lang w:val="fr-BE"/>
        </w:rPr>
      </w:pPr>
    </w:p>
    <w:p w:rsidR="00322E22" w:rsidRDefault="00322E22" w:rsidP="00FD0274">
      <w:pPr>
        <w:pStyle w:val="ListParagraph"/>
        <w:ind w:left="0"/>
        <w:jc w:val="both"/>
        <w:rPr>
          <w:lang w:val="fr-BE"/>
        </w:rPr>
      </w:pPr>
    </w:p>
    <w:p w:rsidR="00322E22" w:rsidRDefault="00322E22" w:rsidP="00FD0274">
      <w:pPr>
        <w:pStyle w:val="ListParagraph"/>
        <w:ind w:left="0"/>
        <w:jc w:val="both"/>
        <w:rPr>
          <w:lang w:val="fr-BE"/>
        </w:rPr>
      </w:pPr>
    </w:p>
    <w:p w:rsidR="00322E22" w:rsidRDefault="00322E22" w:rsidP="00FD0274">
      <w:pPr>
        <w:pStyle w:val="ListParagraph"/>
        <w:ind w:left="0"/>
        <w:jc w:val="both"/>
        <w:rPr>
          <w:lang w:val="fr-BE"/>
        </w:rPr>
      </w:pPr>
    </w:p>
    <w:p w:rsidR="00322E22" w:rsidRDefault="00322E22" w:rsidP="00FD0274">
      <w:pPr>
        <w:pStyle w:val="ListParagraph"/>
        <w:ind w:left="0"/>
        <w:jc w:val="both"/>
        <w:rPr>
          <w:lang w:val="fr-BE"/>
        </w:rPr>
      </w:pPr>
    </w:p>
    <w:p w:rsidR="00322E22" w:rsidRDefault="00322E22" w:rsidP="00FD0274">
      <w:pPr>
        <w:pStyle w:val="ListParagraph"/>
        <w:ind w:left="0"/>
        <w:jc w:val="both"/>
        <w:rPr>
          <w:lang w:val="fr-BE"/>
        </w:rPr>
      </w:pPr>
    </w:p>
    <w:p w:rsidR="00322E22" w:rsidRDefault="00322E22" w:rsidP="00FD0274">
      <w:pPr>
        <w:pStyle w:val="ListParagraph"/>
        <w:ind w:left="0"/>
        <w:jc w:val="both"/>
        <w:rPr>
          <w:lang w:val="fr-BE"/>
        </w:rPr>
      </w:pPr>
    </w:p>
    <w:p w:rsidR="00322E22" w:rsidRDefault="00322E22" w:rsidP="00FD0274">
      <w:pPr>
        <w:pStyle w:val="ListParagraph"/>
        <w:ind w:left="0"/>
        <w:jc w:val="both"/>
        <w:rPr>
          <w:lang w:val="fr-BE"/>
        </w:rPr>
      </w:pPr>
    </w:p>
    <w:p w:rsidR="00322E22" w:rsidRDefault="00322E22" w:rsidP="00FD0274">
      <w:pPr>
        <w:pStyle w:val="ListParagraph"/>
        <w:ind w:left="0"/>
        <w:jc w:val="both"/>
        <w:rPr>
          <w:lang w:val="fr-BE"/>
        </w:rPr>
      </w:pPr>
    </w:p>
    <w:p w:rsidR="00322E22" w:rsidRDefault="00322E22" w:rsidP="00FD0274">
      <w:pPr>
        <w:pStyle w:val="ListParagraph"/>
        <w:ind w:left="0"/>
        <w:jc w:val="both"/>
        <w:rPr>
          <w:lang w:val="fr-BE"/>
        </w:rPr>
      </w:pPr>
    </w:p>
    <w:p w:rsidR="00322E22" w:rsidRDefault="00322E22" w:rsidP="00FD0274">
      <w:pPr>
        <w:pStyle w:val="ListParagraph"/>
        <w:ind w:left="0"/>
        <w:jc w:val="both"/>
        <w:rPr>
          <w:lang w:val="fr-BE"/>
        </w:rPr>
      </w:pPr>
    </w:p>
    <w:p w:rsidR="00322E22" w:rsidRDefault="00322E22" w:rsidP="00FD0274">
      <w:pPr>
        <w:pStyle w:val="ListParagraph"/>
        <w:ind w:left="0"/>
        <w:jc w:val="both"/>
        <w:rPr>
          <w:lang w:val="fr-BE"/>
        </w:rPr>
      </w:pPr>
    </w:p>
    <w:p w:rsidR="00322E22" w:rsidRDefault="00322E22" w:rsidP="00FD0274">
      <w:pPr>
        <w:pStyle w:val="ListParagraph"/>
        <w:ind w:left="0"/>
        <w:jc w:val="both"/>
        <w:rPr>
          <w:lang w:val="fr-BE"/>
        </w:rPr>
      </w:pPr>
    </w:p>
    <w:p w:rsidR="00322E22" w:rsidRDefault="00322E22" w:rsidP="00FD0274">
      <w:pPr>
        <w:pStyle w:val="ListParagraph"/>
        <w:ind w:left="0"/>
        <w:jc w:val="both"/>
        <w:rPr>
          <w:lang w:val="fr-BE"/>
        </w:rPr>
      </w:pPr>
    </w:p>
    <w:p w:rsidR="00322E22" w:rsidRPr="00FD0274" w:rsidRDefault="00322E22" w:rsidP="00FD0274">
      <w:pPr>
        <w:pStyle w:val="ListParagraph"/>
        <w:ind w:left="0"/>
        <w:jc w:val="both"/>
        <w:rPr>
          <w:highlight w:val="yellow"/>
          <w:lang w:val="fr-BE"/>
        </w:rPr>
      </w:pPr>
    </w:p>
    <w:p w:rsidR="00DA1FB2" w:rsidRPr="004E5A73" w:rsidRDefault="00DA1FB2" w:rsidP="00120115">
      <w:pPr>
        <w:rPr>
          <w:lang w:val="fr-BE"/>
        </w:rPr>
      </w:pPr>
    </w:p>
    <w:p w:rsidR="00DA1FB2" w:rsidRDefault="00DA1FB2" w:rsidP="00D11C3F">
      <w:pPr>
        <w:pStyle w:val="Heading2"/>
        <w:numPr>
          <w:ilvl w:val="1"/>
          <w:numId w:val="2"/>
        </w:numPr>
        <w:spacing w:before="0"/>
        <w:rPr>
          <w:lang w:val="fr-FR"/>
        </w:rPr>
      </w:pPr>
      <w:bookmarkStart w:id="9" w:name="_Toc431453527"/>
      <w:r>
        <w:rPr>
          <w:lang w:val="fr-FR"/>
        </w:rPr>
        <w:t xml:space="preserve">Compétitivité : </w:t>
      </w:r>
      <w:r w:rsidR="006A74C3">
        <w:rPr>
          <w:lang w:val="fr-FR"/>
        </w:rPr>
        <w:t>coûts de l’</w:t>
      </w:r>
      <w:r>
        <w:rPr>
          <w:lang w:val="fr-FR"/>
        </w:rPr>
        <w:t>énergie</w:t>
      </w:r>
      <w:bookmarkEnd w:id="9"/>
    </w:p>
    <w:p w:rsidR="00D11C3F" w:rsidRDefault="00D11C3F" w:rsidP="00D11C3F">
      <w:pPr>
        <w:spacing w:after="0"/>
        <w:jc w:val="both"/>
        <w:rPr>
          <w:lang w:val="fr-BE"/>
        </w:rPr>
      </w:pPr>
    </w:p>
    <w:p w:rsidR="00992C10" w:rsidRPr="00651B4D" w:rsidRDefault="00E5601E" w:rsidP="00D11C3F">
      <w:pPr>
        <w:spacing w:after="0"/>
        <w:jc w:val="both"/>
        <w:rPr>
          <w:lang w:val="fr-BE"/>
        </w:rPr>
      </w:pPr>
      <w:r w:rsidRPr="00EF294E">
        <w:rPr>
          <w:lang w:val="fr-BE"/>
        </w:rPr>
        <w:t>Suite aux</w:t>
      </w:r>
      <w:r w:rsidR="001B5A7E" w:rsidRPr="00EF294E">
        <w:rPr>
          <w:lang w:val="fr-BE"/>
        </w:rPr>
        <w:t xml:space="preserve"> </w:t>
      </w:r>
      <w:r w:rsidR="00992C10" w:rsidRPr="00EF294E">
        <w:rPr>
          <w:lang w:val="fr-BE"/>
        </w:rPr>
        <w:t>surcoû</w:t>
      </w:r>
      <w:r w:rsidR="001B5A7E" w:rsidRPr="00EF294E">
        <w:rPr>
          <w:lang w:val="fr-BE"/>
        </w:rPr>
        <w:t>ts</w:t>
      </w:r>
      <w:r w:rsidR="00992C10" w:rsidRPr="00EF294E">
        <w:rPr>
          <w:lang w:val="fr-BE"/>
        </w:rPr>
        <w:t xml:space="preserve"> (</w:t>
      </w:r>
      <w:r w:rsidR="00992C10" w:rsidRPr="00EF294E">
        <w:rPr>
          <w:rStyle w:val="Strong"/>
          <w:rFonts w:cs="Segoe UI"/>
          <w:b w:val="0"/>
          <w:color w:val="333333"/>
          <w:shd w:val="clear" w:color="auto" w:fill="FFFFFF"/>
          <w:lang w:val="fr-BE"/>
        </w:rPr>
        <w:t>Cotisation fédérale</w:t>
      </w:r>
      <w:r w:rsidR="001B5A7E" w:rsidRPr="00EF294E">
        <w:rPr>
          <w:lang w:val="fr-BE"/>
        </w:rPr>
        <w:t xml:space="preserve">, off-shore,…), </w:t>
      </w:r>
      <w:r w:rsidR="001B5A7E" w:rsidRPr="00EF294E">
        <w:rPr>
          <w:color w:val="000000" w:themeColor="text1"/>
          <w:lang w:val="fr-BE"/>
        </w:rPr>
        <w:t xml:space="preserve">les </w:t>
      </w:r>
      <w:r w:rsidR="00992C10" w:rsidRPr="00EF294E">
        <w:rPr>
          <w:color w:val="000000" w:themeColor="text1"/>
          <w:lang w:val="fr-BE"/>
        </w:rPr>
        <w:t>c</w:t>
      </w:r>
      <w:r w:rsidR="00992C10" w:rsidRPr="00EF294E">
        <w:rPr>
          <w:rFonts w:cs="Segoe UI"/>
          <w:iCs/>
          <w:color w:val="000000" w:themeColor="text1"/>
          <w:shd w:val="clear" w:color="auto" w:fill="FFFFFF"/>
          <w:lang w:val="fr-BE"/>
        </w:rPr>
        <w:t xml:space="preserve">oûts de l’énergie </w:t>
      </w:r>
      <w:r w:rsidR="00992C10" w:rsidRPr="00EF294E">
        <w:rPr>
          <w:color w:val="000000" w:themeColor="text1"/>
          <w:lang w:val="fr-BE"/>
        </w:rPr>
        <w:t xml:space="preserve">des </w:t>
      </w:r>
      <w:r w:rsidR="00992C10" w:rsidRPr="00EF294E">
        <w:rPr>
          <w:lang w:val="fr-BE"/>
        </w:rPr>
        <w:t xml:space="preserve">entreprises </w:t>
      </w:r>
      <w:r w:rsidR="001B5A7E" w:rsidRPr="00EF294E">
        <w:rPr>
          <w:lang w:val="fr-BE"/>
        </w:rPr>
        <w:t xml:space="preserve">sont déjà plus </w:t>
      </w:r>
      <w:r w:rsidR="00992C10" w:rsidRPr="00EF294E">
        <w:rPr>
          <w:lang w:val="fr-BE"/>
        </w:rPr>
        <w:t>élevés</w:t>
      </w:r>
      <w:r w:rsidR="001B5A7E" w:rsidRPr="00EF294E">
        <w:rPr>
          <w:lang w:val="fr-BE"/>
        </w:rPr>
        <w:t xml:space="preserve"> que dans les pays voisins. </w:t>
      </w:r>
      <w:r w:rsidRPr="00EF294E">
        <w:rPr>
          <w:lang w:val="fr-BE"/>
        </w:rPr>
        <w:t>A</w:t>
      </w:r>
      <w:r w:rsidR="001B5A7E" w:rsidRPr="00EF294E">
        <w:rPr>
          <w:lang w:val="fr-BE"/>
        </w:rPr>
        <w:t xml:space="preserve"> l'avenir,</w:t>
      </w:r>
      <w:r w:rsidR="00992C10" w:rsidRPr="00EF294E">
        <w:rPr>
          <w:lang w:val="fr-BE"/>
        </w:rPr>
        <w:t xml:space="preserve"> les surcoû</w:t>
      </w:r>
      <w:r w:rsidR="001B5A7E" w:rsidRPr="00EF294E">
        <w:rPr>
          <w:lang w:val="fr-BE"/>
        </w:rPr>
        <w:t xml:space="preserve">ts menacent d’augmenter </w:t>
      </w:r>
      <w:r w:rsidRPr="00EF294E">
        <w:rPr>
          <w:lang w:val="fr-BE"/>
        </w:rPr>
        <w:t xml:space="preserve">de façon </w:t>
      </w:r>
      <w:r w:rsidR="002C5C82" w:rsidRPr="00EF294E">
        <w:rPr>
          <w:lang w:val="fr-BE"/>
        </w:rPr>
        <w:t>exponentielle</w:t>
      </w:r>
      <w:r w:rsidR="001B5A7E" w:rsidRPr="00EF294E">
        <w:rPr>
          <w:lang w:val="fr-BE"/>
        </w:rPr>
        <w:t xml:space="preserve">. </w:t>
      </w:r>
      <w:r w:rsidRPr="00EF294E">
        <w:rPr>
          <w:lang w:val="fr-BE"/>
        </w:rPr>
        <w:t>Ce sont s</w:t>
      </w:r>
      <w:r w:rsidR="001B5A7E" w:rsidRPr="00EF294E">
        <w:rPr>
          <w:lang w:val="fr-BE"/>
        </w:rPr>
        <w:t>urtout les PME intensive</w:t>
      </w:r>
      <w:r w:rsidR="00651B4D" w:rsidRPr="00EF294E">
        <w:rPr>
          <w:lang w:val="fr-BE"/>
        </w:rPr>
        <w:t>s</w:t>
      </w:r>
      <w:r w:rsidR="001B5A7E" w:rsidRPr="00EF294E">
        <w:rPr>
          <w:lang w:val="fr-BE"/>
        </w:rPr>
        <w:t xml:space="preserve"> en én</w:t>
      </w:r>
      <w:r w:rsidR="00651B4D" w:rsidRPr="00EF294E">
        <w:rPr>
          <w:lang w:val="fr-BE"/>
        </w:rPr>
        <w:t>ergie, dont beaucoup sont actives</w:t>
      </w:r>
      <w:r w:rsidR="001B5A7E" w:rsidRPr="00EF294E">
        <w:rPr>
          <w:lang w:val="fr-BE"/>
        </w:rPr>
        <w:t xml:space="preserve"> dans l'industrie alimentaire, </w:t>
      </w:r>
      <w:r w:rsidRPr="00EF294E">
        <w:rPr>
          <w:lang w:val="fr-BE"/>
        </w:rPr>
        <w:t xml:space="preserve">qui </w:t>
      </w:r>
      <w:r w:rsidR="002B4450" w:rsidRPr="00EF294E">
        <w:rPr>
          <w:lang w:val="fr-BE"/>
        </w:rPr>
        <w:t>risque</w:t>
      </w:r>
      <w:r w:rsidR="00E87490">
        <w:rPr>
          <w:lang w:val="fr-BE"/>
        </w:rPr>
        <w:t>nt</w:t>
      </w:r>
      <w:r w:rsidR="00651B4D" w:rsidRPr="00EF294E">
        <w:rPr>
          <w:lang w:val="fr-BE"/>
        </w:rPr>
        <w:t xml:space="preserve"> d’en devenir la victime</w:t>
      </w:r>
      <w:r w:rsidR="00434F80" w:rsidRPr="00EF294E">
        <w:rPr>
          <w:lang w:val="fr-BE"/>
        </w:rPr>
        <w:t xml:space="preserve"> (fig. 1</w:t>
      </w:r>
      <w:r w:rsidR="00322E22">
        <w:rPr>
          <w:lang w:val="fr-BE"/>
        </w:rPr>
        <w:t>5</w:t>
      </w:r>
      <w:r w:rsidR="00992C10" w:rsidRPr="00EF294E">
        <w:rPr>
          <w:lang w:val="fr-BE"/>
        </w:rPr>
        <w:t xml:space="preserve">). </w:t>
      </w:r>
      <w:r w:rsidR="00651B4D" w:rsidRPr="00EF294E">
        <w:rPr>
          <w:lang w:val="fr-BE"/>
        </w:rPr>
        <w:t xml:space="preserve">Une intervention urgente des autorités est </w:t>
      </w:r>
      <w:r w:rsidR="001D6C4C" w:rsidRPr="00EF294E">
        <w:rPr>
          <w:lang w:val="fr-BE"/>
        </w:rPr>
        <w:t xml:space="preserve">ici </w:t>
      </w:r>
      <w:r w:rsidR="00651B4D" w:rsidRPr="00EF294E">
        <w:rPr>
          <w:lang w:val="fr-BE"/>
        </w:rPr>
        <w:t>nécessaire.</w:t>
      </w:r>
    </w:p>
    <w:p w:rsidR="00B10315" w:rsidRPr="00992C10" w:rsidRDefault="00992C10" w:rsidP="00992C10">
      <w:pPr>
        <w:jc w:val="both"/>
        <w:rPr>
          <w:highlight w:val="green"/>
          <w:lang w:val="fr-BE"/>
        </w:rPr>
      </w:pPr>
      <w:r w:rsidRPr="00992C10">
        <w:rPr>
          <w:lang w:val="fr-BE"/>
        </w:rPr>
        <w:t xml:space="preserve"> </w:t>
      </w:r>
      <w:r w:rsidR="00C7072B">
        <w:rPr>
          <w:noProof/>
          <w:lang w:eastAsia="nl-BE"/>
        </w:rPr>
        <w:drawing>
          <wp:inline distT="0" distB="0" distL="0" distR="0" wp14:anchorId="2C47B5ED" wp14:editId="21093719">
            <wp:extent cx="5760000" cy="3240000"/>
            <wp:effectExtent l="0" t="0" r="12700" b="1778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71434" w:rsidRPr="00771434" w:rsidRDefault="00771434" w:rsidP="00120115">
      <w:pPr>
        <w:spacing w:after="0"/>
        <w:rPr>
          <w:b/>
          <w:sz w:val="18"/>
          <w:szCs w:val="18"/>
          <w:lang w:val="fr-FR"/>
        </w:rPr>
      </w:pPr>
      <w:r w:rsidRPr="00771434">
        <w:rPr>
          <w:b/>
          <w:sz w:val="18"/>
          <w:szCs w:val="18"/>
          <w:lang w:val="fr-FR"/>
        </w:rPr>
        <w:t>Source : Calcul</w:t>
      </w:r>
      <w:r w:rsidR="00307532">
        <w:rPr>
          <w:b/>
          <w:sz w:val="18"/>
          <w:szCs w:val="18"/>
          <w:lang w:val="fr-FR"/>
        </w:rPr>
        <w:t>s</w:t>
      </w:r>
      <w:r w:rsidRPr="00771434">
        <w:rPr>
          <w:b/>
          <w:sz w:val="18"/>
          <w:szCs w:val="18"/>
          <w:lang w:val="fr-FR"/>
        </w:rPr>
        <w:t xml:space="preserve"> FEVIA Wallonie</w:t>
      </w:r>
    </w:p>
    <w:p w:rsidR="00D533C6" w:rsidRPr="00B2396B" w:rsidRDefault="00D533C6">
      <w:pPr>
        <w:spacing w:after="0"/>
        <w:jc w:val="both"/>
        <w:rPr>
          <w:lang w:val="fr-BE"/>
        </w:rPr>
      </w:pPr>
      <w:r w:rsidRPr="00D17D48">
        <w:rPr>
          <w:b/>
          <w:sz w:val="18"/>
          <w:szCs w:val="18"/>
          <w:lang w:val="fr-FR"/>
        </w:rPr>
        <w:t>Les chiffres ne prennent pas encore en compte les exonérations partielles de la surcharge certificats verts ELIA</w:t>
      </w:r>
    </w:p>
    <w:p w:rsidR="00DA1FB2" w:rsidRPr="00120115" w:rsidRDefault="00DA1FB2" w:rsidP="00120115">
      <w:pPr>
        <w:spacing w:after="0"/>
        <w:rPr>
          <w:lang w:val="fr-BE"/>
        </w:rPr>
      </w:pPr>
    </w:p>
    <w:p w:rsidR="00DA1FB2" w:rsidRDefault="00DA1FB2" w:rsidP="00DA1FB2">
      <w:pPr>
        <w:rPr>
          <w:lang w:val="fr-FR"/>
        </w:rPr>
      </w:pPr>
    </w:p>
    <w:p w:rsidR="00DA1FB2" w:rsidRDefault="00DA1FB2" w:rsidP="00DA1FB2">
      <w:pPr>
        <w:rPr>
          <w:lang w:val="fr-FR"/>
        </w:rPr>
      </w:pPr>
    </w:p>
    <w:p w:rsidR="00DA1FB2" w:rsidRDefault="00DA1FB2" w:rsidP="00DA1FB2">
      <w:pPr>
        <w:rPr>
          <w:lang w:val="fr-FR"/>
        </w:rPr>
      </w:pPr>
    </w:p>
    <w:p w:rsidR="00DA1FB2" w:rsidRDefault="00DA1FB2" w:rsidP="00DA1FB2">
      <w:pPr>
        <w:rPr>
          <w:lang w:val="fr-FR"/>
        </w:rPr>
      </w:pPr>
    </w:p>
    <w:p w:rsidR="00DA1FB2" w:rsidRDefault="00DA1FB2" w:rsidP="00DA1FB2">
      <w:pPr>
        <w:rPr>
          <w:lang w:val="fr-FR"/>
        </w:rPr>
      </w:pPr>
    </w:p>
    <w:p w:rsidR="00DA1FB2" w:rsidRDefault="00DA1FB2" w:rsidP="00DA1FB2">
      <w:pPr>
        <w:rPr>
          <w:lang w:val="fr-FR"/>
        </w:rPr>
      </w:pPr>
    </w:p>
    <w:p w:rsidR="00DA1FB2" w:rsidRDefault="00DA1FB2" w:rsidP="00DA1FB2">
      <w:pPr>
        <w:rPr>
          <w:lang w:val="fr-FR"/>
        </w:rPr>
      </w:pPr>
    </w:p>
    <w:p w:rsidR="00DA1FB2" w:rsidRDefault="00DA1FB2" w:rsidP="00DA1FB2">
      <w:pPr>
        <w:rPr>
          <w:lang w:val="fr-FR"/>
        </w:rPr>
      </w:pPr>
    </w:p>
    <w:p w:rsidR="00DA1FB2" w:rsidRDefault="00DA1FB2" w:rsidP="00DA1FB2">
      <w:pPr>
        <w:rPr>
          <w:lang w:val="fr-FR"/>
        </w:rPr>
      </w:pPr>
    </w:p>
    <w:p w:rsidR="00DA1FB2" w:rsidRPr="00DA1FB2" w:rsidRDefault="00DA1FB2" w:rsidP="00DA1FB2">
      <w:pPr>
        <w:rPr>
          <w:lang w:val="fr-FR"/>
        </w:rPr>
      </w:pPr>
    </w:p>
    <w:p w:rsidR="00EF553E" w:rsidRDefault="00BE4F2E" w:rsidP="00EB2410">
      <w:pPr>
        <w:pStyle w:val="Heading1"/>
        <w:numPr>
          <w:ilvl w:val="0"/>
          <w:numId w:val="2"/>
        </w:numPr>
        <w:rPr>
          <w:lang w:val="fr-FR"/>
        </w:rPr>
      </w:pPr>
      <w:bookmarkStart w:id="10" w:name="_Toc431453528"/>
      <w:r w:rsidRPr="008D689C">
        <w:rPr>
          <w:lang w:val="fr-FR"/>
        </w:rPr>
        <w:t>Ex</w:t>
      </w:r>
      <w:r w:rsidR="00EF553E">
        <w:rPr>
          <w:lang w:val="fr-FR"/>
        </w:rPr>
        <w:t>portations et commerce extérieur</w:t>
      </w:r>
      <w:bookmarkEnd w:id="10"/>
    </w:p>
    <w:p w:rsidR="00B401FD" w:rsidRPr="00EF294E" w:rsidRDefault="001B677D" w:rsidP="004C5E12">
      <w:pPr>
        <w:jc w:val="both"/>
        <w:rPr>
          <w:lang w:val="fr-FR"/>
        </w:rPr>
      </w:pPr>
      <w:r>
        <w:rPr>
          <w:lang w:val="fr-FR"/>
        </w:rPr>
        <w:t>En 201</w:t>
      </w:r>
      <w:r w:rsidR="00A175E7">
        <w:rPr>
          <w:lang w:val="fr-FR"/>
        </w:rPr>
        <w:t>4</w:t>
      </w:r>
      <w:r>
        <w:rPr>
          <w:lang w:val="fr-FR"/>
        </w:rPr>
        <w:t>, l</w:t>
      </w:r>
      <w:r w:rsidR="006A74C3">
        <w:rPr>
          <w:lang w:val="fr-FR"/>
        </w:rPr>
        <w:t xml:space="preserve">es </w:t>
      </w:r>
      <w:r>
        <w:rPr>
          <w:lang w:val="fr-FR"/>
        </w:rPr>
        <w:t>exportation</w:t>
      </w:r>
      <w:r w:rsidR="006A74C3">
        <w:rPr>
          <w:lang w:val="fr-FR"/>
        </w:rPr>
        <w:t>s</w:t>
      </w:r>
      <w:r>
        <w:rPr>
          <w:lang w:val="fr-FR"/>
        </w:rPr>
        <w:t xml:space="preserve"> de l’industrie </w:t>
      </w:r>
      <w:r w:rsidRPr="00C72C04">
        <w:rPr>
          <w:lang w:val="fr-FR"/>
        </w:rPr>
        <w:t>a</w:t>
      </w:r>
      <w:r>
        <w:rPr>
          <w:lang w:val="fr-FR"/>
        </w:rPr>
        <w:t xml:space="preserve">limentaire </w:t>
      </w:r>
      <w:r w:rsidR="00063ACB">
        <w:rPr>
          <w:lang w:val="fr-FR"/>
        </w:rPr>
        <w:t xml:space="preserve">wallonne </w:t>
      </w:r>
      <w:r w:rsidR="006A74C3">
        <w:rPr>
          <w:lang w:val="fr-FR"/>
        </w:rPr>
        <w:t xml:space="preserve">ont </w:t>
      </w:r>
      <w:r>
        <w:rPr>
          <w:lang w:val="fr-FR"/>
        </w:rPr>
        <w:t xml:space="preserve"> </w:t>
      </w:r>
      <w:r w:rsidR="00A175E7">
        <w:rPr>
          <w:lang w:val="fr-FR"/>
        </w:rPr>
        <w:t>augmenté</w:t>
      </w:r>
      <w:r>
        <w:rPr>
          <w:lang w:val="fr-FR"/>
        </w:rPr>
        <w:t xml:space="preserve"> de </w:t>
      </w:r>
      <w:r w:rsidR="00A175E7">
        <w:rPr>
          <w:lang w:val="fr-FR"/>
        </w:rPr>
        <w:t>2,1</w:t>
      </w:r>
      <w:r>
        <w:rPr>
          <w:lang w:val="fr-FR"/>
        </w:rPr>
        <w:t>% par rapport à 201</w:t>
      </w:r>
      <w:r w:rsidR="00A175E7">
        <w:rPr>
          <w:lang w:val="fr-FR"/>
        </w:rPr>
        <w:t>3</w:t>
      </w:r>
      <w:r>
        <w:rPr>
          <w:lang w:val="fr-FR"/>
        </w:rPr>
        <w:t xml:space="preserve">. </w:t>
      </w:r>
      <w:r w:rsidR="00A175E7">
        <w:rPr>
          <w:lang w:val="fr-FR"/>
        </w:rPr>
        <w:t>L</w:t>
      </w:r>
      <w:r w:rsidR="006A74C3" w:rsidRPr="00EF294E">
        <w:rPr>
          <w:lang w:val="fr-FR"/>
        </w:rPr>
        <w:t>a balance</w:t>
      </w:r>
      <w:r w:rsidR="001E4822" w:rsidRPr="00EF294E">
        <w:rPr>
          <w:lang w:val="fr-FR"/>
        </w:rPr>
        <w:t xml:space="preserve"> commercial</w:t>
      </w:r>
      <w:r w:rsidR="006A74C3" w:rsidRPr="00EF294E">
        <w:rPr>
          <w:lang w:val="fr-FR"/>
        </w:rPr>
        <w:t>e</w:t>
      </w:r>
      <w:r w:rsidR="001E4822" w:rsidRPr="00EF294E">
        <w:rPr>
          <w:lang w:val="fr-FR"/>
        </w:rPr>
        <w:t xml:space="preserve"> s’est soldé</w:t>
      </w:r>
      <w:r w:rsidR="006A74C3" w:rsidRPr="00EF294E">
        <w:rPr>
          <w:lang w:val="fr-FR"/>
        </w:rPr>
        <w:t>e</w:t>
      </w:r>
      <w:r w:rsidRPr="00EF294E">
        <w:rPr>
          <w:lang w:val="fr-FR"/>
        </w:rPr>
        <w:t xml:space="preserve"> en 201</w:t>
      </w:r>
      <w:r w:rsidR="00A175E7">
        <w:rPr>
          <w:lang w:val="fr-FR"/>
        </w:rPr>
        <w:t>4</w:t>
      </w:r>
      <w:r w:rsidRPr="00EF294E">
        <w:rPr>
          <w:lang w:val="fr-FR"/>
        </w:rPr>
        <w:t xml:space="preserve"> par un excédent de </w:t>
      </w:r>
      <w:r w:rsidR="00A175E7">
        <w:rPr>
          <w:lang w:val="fr-FR"/>
        </w:rPr>
        <w:t>867</w:t>
      </w:r>
      <w:r w:rsidR="001E4822" w:rsidRPr="00EF294E">
        <w:rPr>
          <w:lang w:val="fr-FR"/>
        </w:rPr>
        <w:t xml:space="preserve"> mill</w:t>
      </w:r>
      <w:r w:rsidR="00A175E7">
        <w:rPr>
          <w:lang w:val="fr-FR"/>
        </w:rPr>
        <w:t>ions</w:t>
      </w:r>
      <w:r w:rsidR="001E4822" w:rsidRPr="00EF294E">
        <w:rPr>
          <w:lang w:val="fr-FR"/>
        </w:rPr>
        <w:t xml:space="preserve"> d’euros</w:t>
      </w:r>
      <w:r w:rsidRPr="00EF294E">
        <w:rPr>
          <w:lang w:val="fr-FR"/>
        </w:rPr>
        <w:t>.</w:t>
      </w:r>
      <w:r w:rsidR="00845150" w:rsidRPr="00EF294E">
        <w:rPr>
          <w:lang w:val="fr-FR"/>
        </w:rPr>
        <w:t xml:space="preserve"> </w:t>
      </w:r>
    </w:p>
    <w:p w:rsidR="00063ACB" w:rsidRPr="00EF294E" w:rsidRDefault="00D11C3F" w:rsidP="004C5E12">
      <w:pPr>
        <w:jc w:val="both"/>
        <w:rPr>
          <w:lang w:val="fr-FR"/>
        </w:rPr>
      </w:pPr>
      <w:r w:rsidRPr="00EF294E">
        <w:rPr>
          <w:lang w:val="fr-FR"/>
        </w:rPr>
        <w:t>Les exportations de l’industrie alimentaire</w:t>
      </w:r>
      <w:r w:rsidR="00063ACB" w:rsidRPr="00EF294E">
        <w:rPr>
          <w:lang w:val="fr-FR"/>
        </w:rPr>
        <w:t xml:space="preserve"> wallonn</w:t>
      </w:r>
      <w:r w:rsidR="00084E86" w:rsidRPr="00EF294E">
        <w:rPr>
          <w:lang w:val="fr-FR"/>
        </w:rPr>
        <w:t xml:space="preserve">e ont fortement augmenté jusqu'en </w:t>
      </w:r>
      <w:r w:rsidRPr="00EF294E">
        <w:rPr>
          <w:lang w:val="fr-FR"/>
        </w:rPr>
        <w:t>2008. Entre 2002 et 2008, la valeur totale des exportations a augmenté de 23,3%. En 2009</w:t>
      </w:r>
      <w:r w:rsidR="00063ACB" w:rsidRPr="00EF294E">
        <w:rPr>
          <w:lang w:val="fr-FR"/>
        </w:rPr>
        <w:t>, par contre,</w:t>
      </w:r>
      <w:r w:rsidRPr="00EF294E">
        <w:rPr>
          <w:lang w:val="fr-FR"/>
        </w:rPr>
        <w:t xml:space="preserve"> il y</w:t>
      </w:r>
      <w:r w:rsidR="00063ACB" w:rsidRPr="00EF294E">
        <w:rPr>
          <w:lang w:val="fr-FR"/>
        </w:rPr>
        <w:t xml:space="preserve"> </w:t>
      </w:r>
      <w:r w:rsidRPr="00EF294E">
        <w:rPr>
          <w:lang w:val="fr-FR"/>
        </w:rPr>
        <w:t xml:space="preserve">a eu une diminution des exportations de 4,9%. Par rapport à la contraction </w:t>
      </w:r>
      <w:r w:rsidR="002B4450" w:rsidRPr="00EF294E">
        <w:rPr>
          <w:lang w:val="fr-FR"/>
        </w:rPr>
        <w:t>des</w:t>
      </w:r>
      <w:r w:rsidRPr="00EF294E">
        <w:rPr>
          <w:lang w:val="fr-FR"/>
        </w:rPr>
        <w:t xml:space="preserve"> exportations totales de biens en 2009 (-16,4%), </w:t>
      </w:r>
      <w:r w:rsidR="00063ACB" w:rsidRPr="00EF294E">
        <w:rPr>
          <w:lang w:val="fr-FR"/>
        </w:rPr>
        <w:t xml:space="preserve">l’industrie alimentaire </w:t>
      </w:r>
      <w:r w:rsidR="002B4450" w:rsidRPr="00EF294E">
        <w:rPr>
          <w:lang w:val="fr-FR"/>
        </w:rPr>
        <w:t>a pu</w:t>
      </w:r>
      <w:r w:rsidR="00063ACB" w:rsidRPr="00EF294E">
        <w:rPr>
          <w:lang w:val="fr-FR"/>
        </w:rPr>
        <w:t xml:space="preserve"> limiter l’impact de la crise économique</w:t>
      </w:r>
      <w:r w:rsidRPr="00EF294E">
        <w:rPr>
          <w:lang w:val="fr-FR"/>
        </w:rPr>
        <w:t xml:space="preserve">. </w:t>
      </w:r>
      <w:r w:rsidR="00063ACB" w:rsidRPr="00EF294E">
        <w:rPr>
          <w:lang w:val="fr-FR"/>
        </w:rPr>
        <w:t xml:space="preserve">Après 2009, les exportations se rétablissent et </w:t>
      </w:r>
      <w:r w:rsidR="00084E86" w:rsidRPr="00EF294E">
        <w:rPr>
          <w:lang w:val="fr-FR"/>
        </w:rPr>
        <w:t xml:space="preserve">atteignent </w:t>
      </w:r>
      <w:r w:rsidR="00063ACB" w:rsidRPr="00EF294E">
        <w:rPr>
          <w:lang w:val="fr-FR"/>
        </w:rPr>
        <w:t>4,2 milliards d’euro en 201</w:t>
      </w:r>
      <w:r w:rsidR="00A175E7">
        <w:rPr>
          <w:lang w:val="fr-FR"/>
        </w:rPr>
        <w:t>4</w:t>
      </w:r>
      <w:r w:rsidR="00063ACB" w:rsidRPr="00EF294E">
        <w:rPr>
          <w:lang w:val="fr-FR"/>
        </w:rPr>
        <w:t>.</w:t>
      </w:r>
    </w:p>
    <w:p w:rsidR="009C24DE" w:rsidRPr="00155571" w:rsidRDefault="002B4450" w:rsidP="004C5E12">
      <w:pPr>
        <w:jc w:val="both"/>
        <w:rPr>
          <w:lang w:val="fr-FR"/>
        </w:rPr>
      </w:pPr>
      <w:r w:rsidRPr="00EF294E">
        <w:rPr>
          <w:lang w:val="fr-FR"/>
        </w:rPr>
        <w:t xml:space="preserve">Sur </w:t>
      </w:r>
      <w:r w:rsidR="00063ACB" w:rsidRPr="00EF294E">
        <w:rPr>
          <w:lang w:val="fr-FR"/>
        </w:rPr>
        <w:t>la période 200</w:t>
      </w:r>
      <w:r w:rsidR="00A175E7">
        <w:rPr>
          <w:lang w:val="fr-FR"/>
        </w:rPr>
        <w:t>4</w:t>
      </w:r>
      <w:r w:rsidR="00063ACB" w:rsidRPr="00EF294E">
        <w:rPr>
          <w:lang w:val="fr-FR"/>
        </w:rPr>
        <w:t>-201</w:t>
      </w:r>
      <w:r w:rsidR="003B40C2">
        <w:rPr>
          <w:lang w:val="fr-FR"/>
        </w:rPr>
        <w:t>4</w:t>
      </w:r>
      <w:r w:rsidR="00063ACB" w:rsidRPr="00EF294E">
        <w:rPr>
          <w:lang w:val="fr-FR"/>
        </w:rPr>
        <w:t>, les importations ont</w:t>
      </w:r>
      <w:r w:rsidR="00D11C3F" w:rsidRPr="00EF294E">
        <w:rPr>
          <w:lang w:val="fr-FR"/>
        </w:rPr>
        <w:t xml:space="preserve"> augmenté à peu près proportionnellement </w:t>
      </w:r>
      <w:r w:rsidRPr="00EF294E">
        <w:rPr>
          <w:lang w:val="fr-FR"/>
        </w:rPr>
        <w:t>aux</w:t>
      </w:r>
      <w:r w:rsidR="00D11C3F" w:rsidRPr="00EF294E">
        <w:rPr>
          <w:lang w:val="fr-FR"/>
        </w:rPr>
        <w:t xml:space="preserve"> exportations</w:t>
      </w:r>
      <w:r w:rsidRPr="00EF294E">
        <w:rPr>
          <w:lang w:val="fr-FR"/>
        </w:rPr>
        <w:t>, maintenant une</w:t>
      </w:r>
      <w:r w:rsidR="00063ACB" w:rsidRPr="00EF294E">
        <w:rPr>
          <w:lang w:val="fr-FR"/>
        </w:rPr>
        <w:t xml:space="preserve"> balance commerciale positive</w:t>
      </w:r>
      <w:r w:rsidRPr="00EF294E">
        <w:rPr>
          <w:lang w:val="fr-FR"/>
        </w:rPr>
        <w:t xml:space="preserve"> pour l’industrie alimentaire</w:t>
      </w:r>
      <w:r w:rsidR="00063ACB" w:rsidRPr="00EF294E">
        <w:rPr>
          <w:lang w:val="fr-FR"/>
        </w:rPr>
        <w:t>.</w:t>
      </w:r>
      <w:r w:rsidR="00063ACB" w:rsidRPr="00EF294E">
        <w:rPr>
          <w:lang w:val="fr-BE"/>
        </w:rPr>
        <w:t xml:space="preserve"> De cette façon, </w:t>
      </w:r>
      <w:r w:rsidR="00063ACB" w:rsidRPr="00EF294E">
        <w:rPr>
          <w:lang w:val="fr-FR"/>
        </w:rPr>
        <w:t>l'industrie alimentaire contribue de manière significative</w:t>
      </w:r>
      <w:r w:rsidR="00695AFE" w:rsidRPr="00EF294E">
        <w:rPr>
          <w:lang w:val="fr-FR"/>
        </w:rPr>
        <w:t xml:space="preserve"> à la balance </w:t>
      </w:r>
      <w:r w:rsidRPr="00EF294E">
        <w:rPr>
          <w:lang w:val="fr-FR"/>
        </w:rPr>
        <w:t>commerciale wallonne</w:t>
      </w:r>
      <w:r w:rsidR="00063ACB" w:rsidRPr="00EF294E">
        <w:rPr>
          <w:lang w:val="fr-FR"/>
        </w:rPr>
        <w:t>.</w:t>
      </w:r>
    </w:p>
    <w:p w:rsidR="0038021A" w:rsidRPr="0038021A" w:rsidRDefault="00680162" w:rsidP="0038021A">
      <w:pPr>
        <w:jc w:val="center"/>
        <w:rPr>
          <w:lang w:val="fr-FR"/>
        </w:rPr>
      </w:pPr>
      <w:r>
        <w:rPr>
          <w:noProof/>
          <w:lang w:eastAsia="nl-BE"/>
        </w:rPr>
        <w:drawing>
          <wp:inline distT="0" distB="0" distL="0" distR="0" wp14:anchorId="2A1071F1" wp14:editId="181CEAC1">
            <wp:extent cx="5760000" cy="3240000"/>
            <wp:effectExtent l="0" t="0" r="12700" b="1778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5778F" w:rsidRPr="0085778F" w:rsidRDefault="00B213E5" w:rsidP="0085778F">
      <w:pPr>
        <w:rPr>
          <w:b/>
          <w:sz w:val="18"/>
          <w:szCs w:val="18"/>
          <w:lang w:val="fr-FR"/>
        </w:rPr>
      </w:pPr>
      <w:r w:rsidRPr="00B213E5">
        <w:rPr>
          <w:b/>
          <w:sz w:val="18"/>
          <w:szCs w:val="18"/>
          <w:lang w:val="fr-FR"/>
        </w:rPr>
        <w:t>Source : BNB-ICN (concept national)</w:t>
      </w:r>
      <w:r w:rsidR="007D405E">
        <w:rPr>
          <w:b/>
          <w:sz w:val="18"/>
          <w:szCs w:val="18"/>
          <w:lang w:val="fr-FR"/>
        </w:rPr>
        <w:t>,</w:t>
      </w:r>
      <w:r w:rsidR="007D405E" w:rsidRPr="007D405E">
        <w:rPr>
          <w:b/>
          <w:sz w:val="18"/>
          <w:szCs w:val="18"/>
          <w:lang w:val="fr-FR"/>
        </w:rPr>
        <w:t xml:space="preserve"> </w:t>
      </w:r>
      <w:r w:rsidR="007D405E">
        <w:rPr>
          <w:b/>
          <w:sz w:val="18"/>
          <w:szCs w:val="18"/>
          <w:lang w:val="fr-FR"/>
        </w:rPr>
        <w:t>codes NC 02, 03, 04, 07, 09, 10, 11, 15 à 22</w:t>
      </w:r>
    </w:p>
    <w:p w:rsidR="008B3B92" w:rsidRDefault="008B3B92" w:rsidP="00680162">
      <w:pPr>
        <w:jc w:val="center"/>
        <w:rPr>
          <w:lang w:val="fr-FR"/>
        </w:rPr>
      </w:pPr>
    </w:p>
    <w:p w:rsidR="009C24DE" w:rsidRDefault="009C24DE" w:rsidP="0085778F">
      <w:pPr>
        <w:spacing w:line="240" w:lineRule="auto"/>
        <w:rPr>
          <w:rFonts w:eastAsiaTheme="minorEastAsia" w:hAnsi="Times New Roman"/>
          <w:b/>
          <w:bCs/>
          <w:color w:val="595959"/>
          <w:kern w:val="24"/>
          <w:sz w:val="28"/>
          <w:szCs w:val="28"/>
          <w:lang w:val="fr-BE" w:eastAsia="nl-BE"/>
          <w14:textFill>
            <w14:solidFill>
              <w14:srgbClr w14:val="595959">
                <w14:lumMod w14:val="65000"/>
                <w14:lumOff w14:val="35000"/>
              </w14:srgbClr>
            </w14:solidFill>
          </w14:textFill>
        </w:rPr>
      </w:pPr>
    </w:p>
    <w:p w:rsidR="009C24DE" w:rsidRPr="009C24DE" w:rsidRDefault="00B80B7C" w:rsidP="009C24DE">
      <w:pPr>
        <w:pStyle w:val="Heading2"/>
        <w:rPr>
          <w:rFonts w:eastAsiaTheme="minorEastAsia" w:hAnsi="Times New Roman"/>
          <w:b/>
          <w:bCs/>
          <w:color w:val="595959"/>
          <w:kern w:val="24"/>
          <w:sz w:val="28"/>
          <w:szCs w:val="28"/>
          <w:lang w:val="fr-FR" w:eastAsia="nl-BE"/>
          <w14:textFill>
            <w14:solidFill>
              <w14:srgbClr w14:val="595959">
                <w14:lumMod w14:val="65000"/>
                <w14:lumOff w14:val="35000"/>
              </w14:srgbClr>
            </w14:solidFill>
          </w14:textFill>
        </w:rPr>
      </w:pPr>
      <w:bookmarkStart w:id="11" w:name="_Toc431453529"/>
      <w:r>
        <w:rPr>
          <w:lang w:val="fr-BE"/>
        </w:rPr>
        <w:t>6</w:t>
      </w:r>
      <w:r w:rsidR="009C24DE" w:rsidRPr="007049B0">
        <w:rPr>
          <w:lang w:val="fr-BE"/>
        </w:rPr>
        <w:t>.1</w:t>
      </w:r>
      <w:r w:rsidR="009C24DE" w:rsidRPr="009C24DE">
        <w:rPr>
          <w:rFonts w:eastAsiaTheme="minorEastAsia" w:hAnsi="Times New Roman"/>
          <w:b/>
          <w:bCs/>
          <w:color w:val="595959"/>
          <w:kern w:val="24"/>
          <w:sz w:val="28"/>
          <w:szCs w:val="28"/>
          <w:lang w:val="fr-FR" w:eastAsia="nl-BE"/>
          <w14:textFill>
            <w14:solidFill>
              <w14:srgbClr w14:val="595959">
                <w14:lumMod w14:val="65000"/>
                <w14:lumOff w14:val="35000"/>
              </w14:srgbClr>
            </w14:solidFill>
          </w14:textFill>
        </w:rPr>
        <w:t xml:space="preserve"> </w:t>
      </w:r>
      <w:r w:rsidR="009C24DE" w:rsidRPr="009C24DE">
        <w:rPr>
          <w:lang w:val="fr-FR"/>
        </w:rPr>
        <w:t>Répartition des exportations par marché d’exportations et</w:t>
      </w:r>
      <w:r w:rsidR="009C24DE">
        <w:rPr>
          <w:lang w:val="fr-FR"/>
        </w:rPr>
        <w:t xml:space="preserve"> par groupe de produits</w:t>
      </w:r>
      <w:bookmarkEnd w:id="11"/>
    </w:p>
    <w:p w:rsidR="007048ED" w:rsidRDefault="00680162" w:rsidP="007048ED">
      <w:pPr>
        <w:spacing w:line="240" w:lineRule="auto"/>
        <w:jc w:val="center"/>
        <w:rPr>
          <w:rFonts w:eastAsiaTheme="minorEastAsia" w:hAnsi="Times New Roman"/>
          <w:b/>
          <w:bCs/>
          <w:color w:val="595959"/>
          <w:kern w:val="24"/>
          <w:sz w:val="28"/>
          <w:szCs w:val="28"/>
          <w:lang w:val="fr-BE" w:eastAsia="nl-BE"/>
          <w14:textFill>
            <w14:solidFill>
              <w14:srgbClr w14:val="595959">
                <w14:lumMod w14:val="65000"/>
                <w14:lumOff w14:val="35000"/>
              </w14:srgbClr>
            </w14:solidFill>
          </w14:textFill>
        </w:rPr>
      </w:pPr>
      <w:r>
        <w:rPr>
          <w:noProof/>
          <w:lang w:eastAsia="nl-BE"/>
        </w:rPr>
        <w:drawing>
          <wp:inline distT="0" distB="0" distL="0" distR="0" wp14:anchorId="6AEE8E2F" wp14:editId="303105D5">
            <wp:extent cx="5760000" cy="3240000"/>
            <wp:effectExtent l="0" t="0" r="12700" b="1778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844DD" w:rsidRPr="00B213E5" w:rsidRDefault="00B213E5" w:rsidP="005844DD">
      <w:pPr>
        <w:rPr>
          <w:b/>
          <w:sz w:val="18"/>
          <w:szCs w:val="18"/>
          <w:highlight w:val="yellow"/>
          <w:lang w:val="fr-FR"/>
        </w:rPr>
      </w:pPr>
      <w:r w:rsidRPr="00B213E5">
        <w:rPr>
          <w:b/>
          <w:sz w:val="18"/>
          <w:szCs w:val="18"/>
          <w:lang w:val="fr-FR"/>
        </w:rPr>
        <w:t>Source : BNB-ICN (concept national)</w:t>
      </w:r>
      <w:r w:rsidR="007D405E">
        <w:rPr>
          <w:b/>
          <w:sz w:val="18"/>
          <w:szCs w:val="18"/>
          <w:lang w:val="fr-FR"/>
        </w:rPr>
        <w:t>, codes NC 02, 03, 04, 07, 09, 10, 11, 15 à 22</w:t>
      </w:r>
    </w:p>
    <w:p w:rsidR="009522E4" w:rsidRPr="00EF294E" w:rsidRDefault="009522E4" w:rsidP="00AB43CE">
      <w:pPr>
        <w:jc w:val="both"/>
        <w:rPr>
          <w:lang w:val="fr-BE"/>
        </w:rPr>
      </w:pPr>
      <w:r w:rsidRPr="00EF294E">
        <w:rPr>
          <w:lang w:val="fr-BE"/>
        </w:rPr>
        <w:t xml:space="preserve">Les exportations de l’industrie alimentaire </w:t>
      </w:r>
      <w:r w:rsidR="00155571" w:rsidRPr="00EF294E">
        <w:rPr>
          <w:lang w:val="fr-BE"/>
        </w:rPr>
        <w:t>wallonne</w:t>
      </w:r>
      <w:r w:rsidRPr="00EF294E">
        <w:rPr>
          <w:lang w:val="fr-BE"/>
        </w:rPr>
        <w:t xml:space="preserve"> restent principalement concentrées sur l’Union européenne et plus encore</w:t>
      </w:r>
      <w:r w:rsidR="00155571" w:rsidRPr="00EF294E">
        <w:rPr>
          <w:lang w:val="fr-BE"/>
        </w:rPr>
        <w:t xml:space="preserve"> sur nos voisins directs avec 59</w:t>
      </w:r>
      <w:r w:rsidR="00585E44">
        <w:rPr>
          <w:lang w:val="fr-BE"/>
        </w:rPr>
        <w:t>,8</w:t>
      </w:r>
      <w:r w:rsidRPr="00EF294E">
        <w:rPr>
          <w:lang w:val="fr-BE"/>
        </w:rPr>
        <w:t>% de l’ensemble de nos exportations</w:t>
      </w:r>
      <w:r w:rsidR="00155571" w:rsidRPr="00EF294E">
        <w:rPr>
          <w:lang w:val="fr-BE"/>
        </w:rPr>
        <w:t xml:space="preserve"> (fig. 1</w:t>
      </w:r>
      <w:r w:rsidR="003B40C2">
        <w:rPr>
          <w:lang w:val="fr-BE"/>
        </w:rPr>
        <w:t>7</w:t>
      </w:r>
      <w:r w:rsidR="00155571" w:rsidRPr="00EF294E">
        <w:rPr>
          <w:lang w:val="fr-BE"/>
        </w:rPr>
        <w:t>)</w:t>
      </w:r>
      <w:r w:rsidRPr="00EF294E">
        <w:rPr>
          <w:lang w:val="fr-BE"/>
        </w:rPr>
        <w:t xml:space="preserve">. </w:t>
      </w:r>
      <w:r w:rsidR="00AF5D26">
        <w:rPr>
          <w:lang w:val="fr-BE"/>
        </w:rPr>
        <w:t>Néanmoins, l</w:t>
      </w:r>
      <w:r w:rsidR="00155571" w:rsidRPr="00EF294E">
        <w:rPr>
          <w:lang w:val="fr-BE"/>
        </w:rPr>
        <w:t>a part de l’Europe de l’Est et les marchés en dehors de l’Europe augmente</w:t>
      </w:r>
      <w:r w:rsidR="00695AFE" w:rsidRPr="00EF294E">
        <w:rPr>
          <w:lang w:val="fr-BE"/>
        </w:rPr>
        <w:t>nt</w:t>
      </w:r>
      <w:r w:rsidR="00155571" w:rsidRPr="00EF294E">
        <w:rPr>
          <w:lang w:val="fr-BE"/>
        </w:rPr>
        <w:t>. En 201</w:t>
      </w:r>
      <w:r w:rsidR="00585E44">
        <w:rPr>
          <w:lang w:val="fr-BE"/>
        </w:rPr>
        <w:t>4</w:t>
      </w:r>
      <w:r w:rsidR="00695AFE" w:rsidRPr="00EF294E">
        <w:rPr>
          <w:lang w:val="fr-BE"/>
        </w:rPr>
        <w:t>,</w:t>
      </w:r>
      <w:r w:rsidR="00155571" w:rsidRPr="00EF294E">
        <w:rPr>
          <w:lang w:val="fr-BE"/>
        </w:rPr>
        <w:t xml:space="preserve"> 1</w:t>
      </w:r>
      <w:r w:rsidR="00585E44">
        <w:rPr>
          <w:lang w:val="fr-BE"/>
        </w:rPr>
        <w:t>6</w:t>
      </w:r>
      <w:r w:rsidR="00155571" w:rsidRPr="00EF294E">
        <w:rPr>
          <w:lang w:val="fr-BE"/>
        </w:rPr>
        <w:t>% des exportations étaient orienté</w:t>
      </w:r>
      <w:r w:rsidR="00695AFE" w:rsidRPr="00EF294E">
        <w:rPr>
          <w:lang w:val="fr-BE"/>
        </w:rPr>
        <w:t>es</w:t>
      </w:r>
      <w:r w:rsidR="00155571" w:rsidRPr="00EF294E">
        <w:rPr>
          <w:lang w:val="fr-BE"/>
        </w:rPr>
        <w:t xml:space="preserve"> vers les pays hors de l'UE-15. Cette croissance, due </w:t>
      </w:r>
      <w:r w:rsidR="00695AFE" w:rsidRPr="00EF294E">
        <w:rPr>
          <w:lang w:val="fr-BE"/>
        </w:rPr>
        <w:t>au</w:t>
      </w:r>
      <w:r w:rsidR="00155571" w:rsidRPr="00EF294E">
        <w:rPr>
          <w:lang w:val="fr-BE"/>
        </w:rPr>
        <w:t xml:space="preserve"> potentiel</w:t>
      </w:r>
      <w:r w:rsidR="001D6C4C" w:rsidRPr="00EF294E">
        <w:rPr>
          <w:lang w:val="fr-BE"/>
        </w:rPr>
        <w:t xml:space="preserve"> que représentent</w:t>
      </w:r>
      <w:r w:rsidR="00155571" w:rsidRPr="00EF294E">
        <w:rPr>
          <w:lang w:val="fr-BE"/>
        </w:rPr>
        <w:t xml:space="preserve"> ces marchés, </w:t>
      </w:r>
      <w:r w:rsidR="00695AFE" w:rsidRPr="00EF294E">
        <w:rPr>
          <w:lang w:val="fr-BE"/>
        </w:rPr>
        <w:t>est prometteuse</w:t>
      </w:r>
      <w:r w:rsidR="00155571" w:rsidRPr="00EF294E">
        <w:rPr>
          <w:lang w:val="fr-BE"/>
        </w:rPr>
        <w:t xml:space="preserve"> pour les exportations wallonnes.</w:t>
      </w:r>
    </w:p>
    <w:p w:rsidR="009C24DE" w:rsidRDefault="007B2B48" w:rsidP="00AB43CE">
      <w:pPr>
        <w:jc w:val="both"/>
        <w:rPr>
          <w:rFonts w:eastAsiaTheme="minorEastAsia"/>
          <w:bCs/>
          <w:kern w:val="24"/>
          <w:lang w:val="fr-FR" w:eastAsia="nl-BE"/>
        </w:rPr>
      </w:pPr>
      <w:r>
        <w:rPr>
          <w:lang w:val="fr-FR"/>
        </w:rPr>
        <w:t>Pour le moment, l</w:t>
      </w:r>
      <w:r w:rsidR="00CE0E99">
        <w:rPr>
          <w:lang w:val="fr-FR"/>
        </w:rPr>
        <w:t xml:space="preserve">a </w:t>
      </w:r>
      <w:r w:rsidR="002B4450">
        <w:rPr>
          <w:lang w:val="fr-FR"/>
        </w:rPr>
        <w:t>concentration</w:t>
      </w:r>
      <w:r w:rsidR="00CE0E99">
        <w:rPr>
          <w:lang w:val="fr-FR"/>
        </w:rPr>
        <w:t xml:space="preserve"> des export</w:t>
      </w:r>
      <w:r w:rsidR="002B4450">
        <w:rPr>
          <w:lang w:val="fr-FR"/>
        </w:rPr>
        <w:t>ations</w:t>
      </w:r>
      <w:r w:rsidR="00CE0E99">
        <w:rPr>
          <w:lang w:val="fr-FR"/>
        </w:rPr>
        <w:t xml:space="preserve"> vers les trois pays </w:t>
      </w:r>
      <w:r w:rsidR="00585E44">
        <w:rPr>
          <w:lang w:val="fr-FR"/>
        </w:rPr>
        <w:t>voisins et l’Europe occidental</w:t>
      </w:r>
      <w:r w:rsidR="00E87490">
        <w:rPr>
          <w:lang w:val="fr-FR"/>
        </w:rPr>
        <w:t>e</w:t>
      </w:r>
      <w:r w:rsidR="00585E44">
        <w:rPr>
          <w:lang w:val="fr-FR"/>
        </w:rPr>
        <w:t xml:space="preserve"> </w:t>
      </w:r>
      <w:r w:rsidR="00CE0E99">
        <w:rPr>
          <w:lang w:val="fr-FR"/>
        </w:rPr>
        <w:t>comporte certains risques.</w:t>
      </w:r>
      <w:r w:rsidR="00585E44">
        <w:rPr>
          <w:lang w:val="fr-FR"/>
        </w:rPr>
        <w:t xml:space="preserve"> L’Europe occidentale est un marché « mature » avec un potentiel de croissance limité. </w:t>
      </w:r>
      <w:r w:rsidR="00CE0E99">
        <w:rPr>
          <w:lang w:val="fr-FR"/>
        </w:rPr>
        <w:t xml:space="preserve"> </w:t>
      </w:r>
      <w:r w:rsidR="00585E44">
        <w:rPr>
          <w:lang w:val="fr-FR"/>
        </w:rPr>
        <w:t>Par exemple, en</w:t>
      </w:r>
      <w:r w:rsidR="00CE0E99">
        <w:rPr>
          <w:lang w:val="fr-FR"/>
        </w:rPr>
        <w:t xml:space="preserve"> 201</w:t>
      </w:r>
      <w:r w:rsidR="00585E44">
        <w:rPr>
          <w:lang w:val="fr-FR"/>
        </w:rPr>
        <w:t>4</w:t>
      </w:r>
      <w:r w:rsidR="00CE0E99">
        <w:rPr>
          <w:lang w:val="fr-FR"/>
        </w:rPr>
        <w:t xml:space="preserve"> les export</w:t>
      </w:r>
      <w:r w:rsidR="006A74C3">
        <w:rPr>
          <w:lang w:val="fr-FR"/>
        </w:rPr>
        <w:t>ations</w:t>
      </w:r>
      <w:r w:rsidR="00CE0E99">
        <w:rPr>
          <w:lang w:val="fr-FR"/>
        </w:rPr>
        <w:t xml:space="preserve"> vers les l’</w:t>
      </w:r>
      <w:r w:rsidR="00585E44">
        <w:rPr>
          <w:lang w:val="fr-FR"/>
        </w:rPr>
        <w:t>Allemagne, le Royaume-Uni et l’Italie</w:t>
      </w:r>
      <w:r w:rsidR="00CE0E99">
        <w:rPr>
          <w:lang w:val="fr-FR"/>
        </w:rPr>
        <w:t xml:space="preserve"> </w:t>
      </w:r>
      <w:r>
        <w:rPr>
          <w:lang w:val="fr-FR"/>
        </w:rPr>
        <w:t>ont baissé</w:t>
      </w:r>
      <w:r w:rsidR="00585E44">
        <w:rPr>
          <w:lang w:val="fr-FR"/>
        </w:rPr>
        <w:t xml:space="preserve">. </w:t>
      </w:r>
      <w:r w:rsidR="009C24DE">
        <w:rPr>
          <w:lang w:val="fr-FR"/>
        </w:rPr>
        <w:t>Po</w:t>
      </w:r>
      <w:r w:rsidR="006A74C3">
        <w:rPr>
          <w:lang w:val="fr-FR"/>
        </w:rPr>
        <w:t>int positif</w:t>
      </w:r>
      <w:r w:rsidR="009C24DE">
        <w:rPr>
          <w:lang w:val="fr-FR"/>
        </w:rPr>
        <w:t xml:space="preserve"> : </w:t>
      </w:r>
      <w:r w:rsidR="009C24DE">
        <w:rPr>
          <w:rFonts w:eastAsiaTheme="minorEastAsia"/>
          <w:bCs/>
          <w:kern w:val="24"/>
          <w:lang w:val="fr-FR" w:eastAsia="nl-BE"/>
        </w:rPr>
        <w:t>à</w:t>
      </w:r>
      <w:r w:rsidR="009C24DE" w:rsidRPr="0085778F">
        <w:rPr>
          <w:rFonts w:eastAsiaTheme="minorEastAsia"/>
          <w:bCs/>
          <w:kern w:val="24"/>
          <w:lang w:val="fr-FR" w:eastAsia="nl-BE"/>
        </w:rPr>
        <w:t xml:space="preserve"> </w:t>
      </w:r>
      <w:r w:rsidR="00CE0E99" w:rsidRPr="0085778F">
        <w:rPr>
          <w:rFonts w:eastAsiaTheme="minorEastAsia"/>
          <w:bCs/>
          <w:kern w:val="24"/>
          <w:lang w:val="fr-FR" w:eastAsia="nl-BE"/>
        </w:rPr>
        <w:t>long</w:t>
      </w:r>
      <w:r w:rsidR="00CE0E99">
        <w:rPr>
          <w:rFonts w:eastAsiaTheme="minorEastAsia"/>
          <w:bCs/>
          <w:kern w:val="24"/>
          <w:lang w:val="fr-FR" w:eastAsia="nl-BE"/>
        </w:rPr>
        <w:t>-</w:t>
      </w:r>
      <w:r w:rsidR="009C24DE" w:rsidRPr="0085778F">
        <w:rPr>
          <w:rFonts w:eastAsiaTheme="minorEastAsia"/>
          <w:bCs/>
          <w:kern w:val="24"/>
          <w:lang w:val="fr-FR" w:eastAsia="nl-BE"/>
        </w:rPr>
        <w:t>terme l</w:t>
      </w:r>
      <w:r w:rsidR="006A74C3">
        <w:rPr>
          <w:rFonts w:eastAsiaTheme="minorEastAsia"/>
          <w:bCs/>
          <w:kern w:val="24"/>
          <w:lang w:val="fr-FR" w:eastAsia="nl-BE"/>
        </w:rPr>
        <w:t xml:space="preserve">es </w:t>
      </w:r>
      <w:r w:rsidR="009C24DE" w:rsidRPr="0085778F">
        <w:rPr>
          <w:rFonts w:eastAsiaTheme="minorEastAsia"/>
          <w:bCs/>
          <w:kern w:val="24"/>
          <w:lang w:val="fr-FR" w:eastAsia="nl-BE"/>
        </w:rPr>
        <w:t>exportation</w:t>
      </w:r>
      <w:r w:rsidR="006A74C3">
        <w:rPr>
          <w:rFonts w:eastAsiaTheme="minorEastAsia"/>
          <w:bCs/>
          <w:kern w:val="24"/>
          <w:lang w:val="fr-FR" w:eastAsia="nl-BE"/>
        </w:rPr>
        <w:t>s</w:t>
      </w:r>
      <w:r w:rsidR="009C24DE" w:rsidRPr="0085778F">
        <w:rPr>
          <w:rFonts w:eastAsiaTheme="minorEastAsia"/>
          <w:bCs/>
          <w:kern w:val="24"/>
          <w:lang w:val="fr-FR" w:eastAsia="nl-BE"/>
        </w:rPr>
        <w:t xml:space="preserve"> de l’industrie alimentaire s</w:t>
      </w:r>
      <w:r w:rsidR="006A74C3">
        <w:rPr>
          <w:rFonts w:eastAsiaTheme="minorEastAsia"/>
          <w:bCs/>
          <w:kern w:val="24"/>
          <w:lang w:val="fr-FR" w:eastAsia="nl-BE"/>
        </w:rPr>
        <w:t xml:space="preserve">e sont </w:t>
      </w:r>
      <w:r w:rsidR="009C24DE" w:rsidRPr="0085778F">
        <w:rPr>
          <w:rFonts w:eastAsiaTheme="minorEastAsia"/>
          <w:bCs/>
          <w:kern w:val="24"/>
          <w:lang w:val="fr-FR" w:eastAsia="nl-BE"/>
        </w:rPr>
        <w:t xml:space="preserve"> clairement diversifié</w:t>
      </w:r>
      <w:r w:rsidR="006A74C3">
        <w:rPr>
          <w:rFonts w:eastAsiaTheme="minorEastAsia"/>
          <w:bCs/>
          <w:kern w:val="24"/>
          <w:lang w:val="fr-FR" w:eastAsia="nl-BE"/>
        </w:rPr>
        <w:t>es</w:t>
      </w:r>
      <w:r w:rsidR="009C24DE" w:rsidRPr="0085778F">
        <w:rPr>
          <w:rFonts w:eastAsiaTheme="minorEastAsia"/>
          <w:bCs/>
          <w:kern w:val="24"/>
          <w:lang w:val="fr-FR" w:eastAsia="nl-BE"/>
        </w:rPr>
        <w:t xml:space="preserve">. </w:t>
      </w:r>
      <w:r w:rsidR="009C24DE">
        <w:rPr>
          <w:rFonts w:eastAsiaTheme="minorEastAsia"/>
          <w:bCs/>
          <w:kern w:val="24"/>
          <w:lang w:val="fr-FR" w:eastAsia="nl-BE"/>
        </w:rPr>
        <w:t xml:space="preserve">Pour l’industrie alimentaire wallonne </w:t>
      </w:r>
      <w:r w:rsidR="0020751C">
        <w:rPr>
          <w:rFonts w:eastAsiaTheme="minorEastAsia"/>
          <w:bCs/>
          <w:kern w:val="24"/>
          <w:lang w:val="fr-FR" w:eastAsia="nl-BE"/>
        </w:rPr>
        <w:t>il est</w:t>
      </w:r>
      <w:r w:rsidR="009C24DE">
        <w:rPr>
          <w:rFonts w:eastAsiaTheme="minorEastAsia"/>
          <w:bCs/>
          <w:kern w:val="24"/>
          <w:lang w:val="fr-FR" w:eastAsia="nl-BE"/>
        </w:rPr>
        <w:t xml:space="preserve"> crucial de </w:t>
      </w:r>
      <w:r w:rsidR="0020751C">
        <w:rPr>
          <w:rFonts w:eastAsiaTheme="minorEastAsia"/>
          <w:bCs/>
          <w:kern w:val="24"/>
          <w:lang w:val="fr-FR" w:eastAsia="nl-BE"/>
        </w:rPr>
        <w:t>poursuivre</w:t>
      </w:r>
      <w:r w:rsidR="00695AFE">
        <w:rPr>
          <w:rFonts w:eastAsiaTheme="minorEastAsia"/>
          <w:bCs/>
          <w:kern w:val="24"/>
          <w:lang w:val="fr-FR" w:eastAsia="nl-BE"/>
        </w:rPr>
        <w:t xml:space="preserve"> </w:t>
      </w:r>
      <w:r w:rsidR="009C24DE">
        <w:rPr>
          <w:rFonts w:eastAsiaTheme="minorEastAsia"/>
          <w:bCs/>
          <w:kern w:val="24"/>
          <w:lang w:val="fr-FR" w:eastAsia="nl-BE"/>
        </w:rPr>
        <w:t>cette diversification.</w:t>
      </w:r>
    </w:p>
    <w:p w:rsidR="00680162" w:rsidRDefault="00680162" w:rsidP="00AB43CE">
      <w:pPr>
        <w:jc w:val="both"/>
        <w:rPr>
          <w:lang w:val="fr-FR"/>
        </w:rPr>
      </w:pPr>
      <w:r>
        <w:rPr>
          <w:noProof/>
          <w:lang w:eastAsia="nl-BE"/>
        </w:rPr>
        <w:drawing>
          <wp:inline distT="0" distB="0" distL="0" distR="0" wp14:anchorId="434DD1E3" wp14:editId="298D8B9D">
            <wp:extent cx="5760000" cy="3240000"/>
            <wp:effectExtent l="0" t="0" r="12700" b="1778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80162" w:rsidRPr="00680162" w:rsidRDefault="00680162" w:rsidP="00680162">
      <w:pPr>
        <w:rPr>
          <w:b/>
          <w:sz w:val="18"/>
          <w:szCs w:val="18"/>
          <w:lang w:val="fr-FR"/>
        </w:rPr>
      </w:pPr>
      <w:r w:rsidRPr="00B213E5">
        <w:rPr>
          <w:b/>
          <w:sz w:val="18"/>
          <w:szCs w:val="18"/>
          <w:lang w:val="fr-FR"/>
        </w:rPr>
        <w:t>Source : BNB-ICN (concept national)</w:t>
      </w:r>
      <w:r>
        <w:rPr>
          <w:b/>
          <w:sz w:val="18"/>
          <w:szCs w:val="18"/>
          <w:lang w:val="fr-FR"/>
        </w:rPr>
        <w:t>,</w:t>
      </w:r>
      <w:r w:rsidRPr="007D405E">
        <w:rPr>
          <w:b/>
          <w:sz w:val="18"/>
          <w:szCs w:val="18"/>
          <w:lang w:val="fr-FR"/>
        </w:rPr>
        <w:t xml:space="preserve"> </w:t>
      </w:r>
      <w:r>
        <w:rPr>
          <w:b/>
          <w:sz w:val="18"/>
          <w:szCs w:val="18"/>
          <w:lang w:val="fr-FR"/>
        </w:rPr>
        <w:t>codes NC 02, 03, 04, 07, 09, 10, 11, 15 à 22</w:t>
      </w:r>
    </w:p>
    <w:p w:rsidR="00F87870" w:rsidRDefault="00F87870">
      <w:pPr>
        <w:jc w:val="both"/>
        <w:rPr>
          <w:lang w:val="fr-FR"/>
        </w:rPr>
      </w:pPr>
      <w:r w:rsidRPr="00466812">
        <w:rPr>
          <w:lang w:val="fr-FR"/>
        </w:rPr>
        <w:t>En ce qui concerne la répartition des exportations par sous-secteurs, o</w:t>
      </w:r>
      <w:r w:rsidR="00036C63">
        <w:rPr>
          <w:lang w:val="fr-FR"/>
        </w:rPr>
        <w:t>n constate une répartition</w:t>
      </w:r>
      <w:r w:rsidRPr="00466812">
        <w:rPr>
          <w:lang w:val="fr-FR"/>
        </w:rPr>
        <w:t xml:space="preserve"> équilibrée entre les catégories de produits, avec toutefois une part plus importante du secteur laitier</w:t>
      </w:r>
      <w:r w:rsidR="00B121A1">
        <w:rPr>
          <w:lang w:val="fr-FR"/>
        </w:rPr>
        <w:t xml:space="preserve"> (figure </w:t>
      </w:r>
      <w:r w:rsidR="00680162">
        <w:rPr>
          <w:lang w:val="fr-FR"/>
        </w:rPr>
        <w:t>1</w:t>
      </w:r>
      <w:r w:rsidR="003B40C2">
        <w:rPr>
          <w:lang w:val="fr-FR"/>
        </w:rPr>
        <w:t>8</w:t>
      </w:r>
      <w:r w:rsidR="00B121A1">
        <w:rPr>
          <w:lang w:val="fr-FR"/>
        </w:rPr>
        <w:t>)</w:t>
      </w:r>
      <w:r w:rsidRPr="00466812">
        <w:rPr>
          <w:lang w:val="fr-FR"/>
        </w:rPr>
        <w:t>. Cette diversi</w:t>
      </w:r>
      <w:r w:rsidR="0020751C">
        <w:rPr>
          <w:lang w:val="fr-FR"/>
        </w:rPr>
        <w:t>fication</w:t>
      </w:r>
      <w:r w:rsidRPr="00466812">
        <w:rPr>
          <w:lang w:val="fr-FR"/>
        </w:rPr>
        <w:t xml:space="preserve"> de</w:t>
      </w:r>
      <w:r w:rsidR="0020751C">
        <w:rPr>
          <w:lang w:val="fr-FR"/>
        </w:rPr>
        <w:t>s</w:t>
      </w:r>
      <w:r w:rsidRPr="00466812">
        <w:rPr>
          <w:lang w:val="fr-FR"/>
        </w:rPr>
        <w:t xml:space="preserve"> exportation</w:t>
      </w:r>
      <w:r w:rsidR="0020751C">
        <w:rPr>
          <w:lang w:val="fr-FR"/>
        </w:rPr>
        <w:t>s</w:t>
      </w:r>
      <w:r w:rsidRPr="00466812">
        <w:rPr>
          <w:lang w:val="fr-FR"/>
        </w:rPr>
        <w:t xml:space="preserve"> est un atout pour l’industrie alimentaire wallonne : une baisse d’exportation dans une catégorie peut ainsi être compensée par une hausse dans une autre catégorie.</w:t>
      </w:r>
    </w:p>
    <w:p w:rsidR="00695AFE" w:rsidRPr="00EF294E" w:rsidRDefault="00695AFE" w:rsidP="00120115">
      <w:pPr>
        <w:spacing w:after="0"/>
        <w:jc w:val="both"/>
        <w:rPr>
          <w:rFonts w:eastAsia="Times New Roman" w:cs="Times New Roman"/>
          <w:lang w:val="fr-FR" w:eastAsia="fr-FR"/>
        </w:rPr>
      </w:pPr>
      <w:r w:rsidRPr="00EF294E">
        <w:rPr>
          <w:rFonts w:eastAsia="Times New Roman" w:cs="Times New Roman"/>
          <w:lang w:val="fr-FR" w:eastAsia="fr-FR"/>
        </w:rPr>
        <w:t xml:space="preserve">Le marché d'Europe occidentale pour les produits alimentaires a un potentiel de croissance limité. Si l’industrie alimentaire wallonne veut </w:t>
      </w:r>
      <w:r w:rsidR="00271BDB" w:rsidRPr="00EF294E">
        <w:rPr>
          <w:rFonts w:eastAsia="Times New Roman" w:cs="Times New Roman"/>
          <w:lang w:val="fr-FR" w:eastAsia="fr-FR"/>
        </w:rPr>
        <w:t xml:space="preserve">encore </w:t>
      </w:r>
      <w:r w:rsidRPr="00EF294E">
        <w:rPr>
          <w:rFonts w:eastAsia="Times New Roman" w:cs="Times New Roman"/>
          <w:lang w:val="fr-FR" w:eastAsia="fr-FR"/>
        </w:rPr>
        <w:t>grandir, il est crucial de percer dans les marchés d'exportation</w:t>
      </w:r>
      <w:r w:rsidR="00271BDB" w:rsidRPr="00EF294E">
        <w:rPr>
          <w:rFonts w:eastAsia="Times New Roman" w:cs="Times New Roman"/>
          <w:lang w:val="fr-FR" w:eastAsia="fr-FR"/>
        </w:rPr>
        <w:t xml:space="preserve"> plus</w:t>
      </w:r>
      <w:r w:rsidRPr="00EF294E">
        <w:rPr>
          <w:rFonts w:eastAsia="Times New Roman" w:cs="Times New Roman"/>
          <w:lang w:val="fr-FR" w:eastAsia="fr-FR"/>
        </w:rPr>
        <w:t xml:space="preserve"> lointains. </w:t>
      </w:r>
    </w:p>
    <w:p w:rsidR="00695AFE" w:rsidRPr="00EF294E" w:rsidRDefault="00695AFE" w:rsidP="00120115">
      <w:pPr>
        <w:spacing w:after="0"/>
        <w:jc w:val="both"/>
        <w:rPr>
          <w:rFonts w:eastAsia="Times New Roman" w:cs="Times New Roman"/>
          <w:lang w:val="fr-FR" w:eastAsia="fr-FR"/>
        </w:rPr>
      </w:pPr>
    </w:p>
    <w:p w:rsidR="00A44FC8" w:rsidRPr="00120115" w:rsidRDefault="00695AFE" w:rsidP="00120115">
      <w:pPr>
        <w:spacing w:after="0"/>
        <w:jc w:val="both"/>
        <w:rPr>
          <w:rFonts w:eastAsiaTheme="minorEastAsia" w:hAnsi="Times New Roman"/>
          <w:b/>
          <w:bCs/>
          <w:color w:val="595959"/>
          <w:kern w:val="24"/>
          <w:sz w:val="28"/>
          <w:szCs w:val="28"/>
          <w:lang w:val="fr-BE" w:eastAsia="nl-BE"/>
          <w14:textFill>
            <w14:solidFill>
              <w14:srgbClr w14:val="595959">
                <w14:lumMod w14:val="65000"/>
                <w14:lumOff w14:val="35000"/>
              </w14:srgbClr>
            </w14:solidFill>
          </w14:textFill>
        </w:rPr>
        <w:sectPr w:rsidR="00A44FC8" w:rsidRPr="00120115" w:rsidSect="00021A99">
          <w:footerReference w:type="default" r:id="rId26"/>
          <w:headerReference w:type="first" r:id="rId27"/>
          <w:pgSz w:w="11906" w:h="16838"/>
          <w:pgMar w:top="1417" w:right="1417" w:bottom="1417" w:left="1417" w:header="708" w:footer="708" w:gutter="0"/>
          <w:pgNumType w:start="0"/>
          <w:cols w:space="708"/>
          <w:titlePg/>
          <w:docGrid w:linePitch="360"/>
        </w:sectPr>
      </w:pPr>
      <w:r w:rsidRPr="00EF294E">
        <w:rPr>
          <w:rFonts w:eastAsia="Times New Roman" w:cs="Times New Roman"/>
          <w:lang w:val="fr-FR" w:eastAsia="fr-FR"/>
        </w:rPr>
        <w:t xml:space="preserve">« Les produits </w:t>
      </w:r>
      <w:r w:rsidR="00271BDB" w:rsidRPr="00EF294E">
        <w:rPr>
          <w:rFonts w:eastAsia="Times New Roman" w:cs="Times New Roman"/>
          <w:lang w:val="fr-FR" w:eastAsia="fr-FR"/>
        </w:rPr>
        <w:t>phares</w:t>
      </w:r>
      <w:r w:rsidRPr="00EF294E">
        <w:rPr>
          <w:rFonts w:eastAsia="Times New Roman" w:cs="Times New Roman"/>
          <w:lang w:val="fr-FR" w:eastAsia="fr-FR"/>
        </w:rPr>
        <w:t xml:space="preserve"> belges » tels que la bière et le chocolat peuvent jouer un rôle important dans l’</w:t>
      </w:r>
      <w:r w:rsidR="00084E86" w:rsidRPr="00EF294E">
        <w:rPr>
          <w:rFonts w:eastAsia="Times New Roman" w:cs="Times New Roman"/>
          <w:lang w:val="fr-FR" w:eastAsia="fr-FR"/>
        </w:rPr>
        <w:t>«</w:t>
      </w:r>
      <w:r w:rsidRPr="00EF294E">
        <w:rPr>
          <w:rFonts w:eastAsia="Times New Roman" w:cs="Times New Roman"/>
          <w:lang w:val="fr-FR" w:eastAsia="fr-FR"/>
        </w:rPr>
        <w:t>ouverture des portes » pour les autres produits alimentaires</w:t>
      </w:r>
      <w:r w:rsidR="00E404C0">
        <w:rPr>
          <w:rFonts w:eastAsia="Times New Roman" w:cs="Times New Roman"/>
          <w:lang w:val="fr-FR" w:eastAsia="fr-FR"/>
        </w:rPr>
        <w:t xml:space="preserve">. </w:t>
      </w:r>
      <w:r w:rsidR="00E37D11" w:rsidRPr="00EF294E">
        <w:rPr>
          <w:rFonts w:eastAsia="Times New Roman" w:cs="Times New Roman"/>
          <w:lang w:val="fr-FR" w:eastAsia="fr-FR"/>
        </w:rPr>
        <w:t>Afin de consolider et de renforcer sa croissance, l'industrie alimentair</w:t>
      </w:r>
      <w:r w:rsidR="00E37D11">
        <w:rPr>
          <w:rFonts w:eastAsia="Times New Roman" w:cs="Times New Roman"/>
          <w:lang w:val="fr-FR" w:eastAsia="fr-FR"/>
        </w:rPr>
        <w:t xml:space="preserve">e </w:t>
      </w:r>
      <w:r w:rsidR="00E37D11" w:rsidRPr="00D17D48">
        <w:rPr>
          <w:rFonts w:eastAsia="Times New Roman" w:cs="Times New Roman"/>
          <w:lang w:val="fr-FR" w:eastAsia="fr-FR"/>
        </w:rPr>
        <w:t>belge a besoin d'une meilleure visibilité et d’une image forte, particulièrement dans les pays d'exportation plus lointaine. C’est pourquoi FEVIA a mis au point un concept d'image de marque cohérent que l'industrie alimentaire belge doit promouvoir comme LA référence dans le monde entier</w:t>
      </w:r>
      <w:r w:rsidR="00E37D11" w:rsidRPr="00EF294E">
        <w:rPr>
          <w:rFonts w:eastAsia="Times New Roman" w:cs="Times New Roman"/>
          <w:lang w:val="fr-FR" w:eastAsia="fr-FR"/>
        </w:rPr>
        <w:t xml:space="preserve"> pour la qualité</w:t>
      </w:r>
      <w:r w:rsidR="00E37D11" w:rsidRPr="00EF294E">
        <w:rPr>
          <w:rFonts w:eastAsia="MS Mincho" w:cs="Arial"/>
          <w:bCs/>
          <w:lang w:val="fr-FR" w:eastAsia="fr-FR"/>
        </w:rPr>
        <w:t xml:space="preserve">: </w:t>
      </w:r>
      <w:r w:rsidR="00E37D11" w:rsidRPr="00EF294E">
        <w:rPr>
          <w:rFonts w:eastAsia="MS Mincho" w:cs="Arial"/>
          <w:b/>
          <w:bCs/>
          <w:lang w:val="fr-FR" w:eastAsia="fr-FR"/>
        </w:rPr>
        <w:t>”Food.be – Small country. Great food.”</w:t>
      </w:r>
    </w:p>
    <w:p w:rsidR="004653D0" w:rsidRDefault="004653D0" w:rsidP="00B213E5">
      <w:pPr>
        <w:rPr>
          <w:b/>
          <w:sz w:val="18"/>
          <w:szCs w:val="18"/>
          <w:lang w:val="fr-FR"/>
        </w:rPr>
        <w:sectPr w:rsidR="004653D0" w:rsidSect="00CA5EFB">
          <w:headerReference w:type="first" r:id="rId28"/>
          <w:pgSz w:w="11906" w:h="16838"/>
          <w:pgMar w:top="1418" w:right="1418" w:bottom="1418" w:left="1418" w:header="709" w:footer="709" w:gutter="0"/>
          <w:pgNumType w:start="0"/>
          <w:cols w:space="708"/>
          <w:titlePg/>
          <w:docGrid w:linePitch="360"/>
        </w:sectPr>
      </w:pPr>
    </w:p>
    <w:p w:rsidR="000767BF" w:rsidRPr="000767BF" w:rsidRDefault="004653D0" w:rsidP="000767BF">
      <w:pPr>
        <w:pStyle w:val="Heading1"/>
        <w:spacing w:before="0" w:line="240" w:lineRule="auto"/>
        <w:rPr>
          <w:lang w:val="fr-FR"/>
        </w:rPr>
      </w:pPr>
      <w:bookmarkStart w:id="12" w:name="_Toc431453530"/>
      <w:r>
        <w:rPr>
          <w:lang w:val="fr-FR"/>
        </w:rPr>
        <w:t>Liste d’abréviations</w:t>
      </w:r>
      <w:bookmarkEnd w:id="12"/>
    </w:p>
    <w:p w:rsidR="000767BF" w:rsidRDefault="000767BF" w:rsidP="000767BF">
      <w:pPr>
        <w:spacing w:after="0" w:line="240" w:lineRule="auto"/>
        <w:rPr>
          <w:lang w:val="fr-FR"/>
        </w:rPr>
      </w:pPr>
    </w:p>
    <w:p w:rsidR="00582936" w:rsidRDefault="00434F80" w:rsidP="000767BF">
      <w:pPr>
        <w:spacing w:line="240" w:lineRule="auto"/>
        <w:rPr>
          <w:lang w:val="fr-FR"/>
        </w:rPr>
      </w:pPr>
      <w:r w:rsidRPr="00071410">
        <w:rPr>
          <w:lang w:val="fr-FR"/>
        </w:rPr>
        <w:t>BNB-ICN</w:t>
      </w:r>
      <w:r w:rsidR="00C80606" w:rsidRPr="00071410">
        <w:rPr>
          <w:lang w:val="fr-FR"/>
        </w:rPr>
        <w:t> :</w:t>
      </w:r>
      <w:r w:rsidR="00071410">
        <w:rPr>
          <w:lang w:val="fr-FR"/>
        </w:rPr>
        <w:t xml:space="preserve"> Banque Nationale de Belgique – Institut des Comptes Nationaux</w:t>
      </w:r>
    </w:p>
    <w:p w:rsidR="000767BF" w:rsidRPr="00071410" w:rsidRDefault="000767BF" w:rsidP="000767BF">
      <w:pPr>
        <w:rPr>
          <w:lang w:val="fr-BE"/>
        </w:rPr>
      </w:pPr>
      <w:r w:rsidRPr="00071410">
        <w:rPr>
          <w:color w:val="000000" w:themeColor="text1"/>
          <w:lang w:val="fr-BE"/>
        </w:rPr>
        <w:t>CCE</w:t>
      </w:r>
      <w:r>
        <w:rPr>
          <w:color w:val="000000" w:themeColor="text1"/>
          <w:lang w:val="fr-BE"/>
        </w:rPr>
        <w:t xml:space="preserve"> </w:t>
      </w:r>
      <w:r w:rsidRPr="00071410">
        <w:rPr>
          <w:color w:val="000000" w:themeColor="text1"/>
          <w:lang w:val="fr-BE"/>
        </w:rPr>
        <w:t xml:space="preserve">: Conseil Central </w:t>
      </w:r>
      <w:r>
        <w:rPr>
          <w:color w:val="000000" w:themeColor="text1"/>
          <w:lang w:val="fr-BE"/>
        </w:rPr>
        <w:t>de l’Economie</w:t>
      </w:r>
    </w:p>
    <w:p w:rsidR="000767BF" w:rsidRPr="00071410" w:rsidRDefault="000767BF" w:rsidP="000767BF">
      <w:pPr>
        <w:rPr>
          <w:color w:val="000000" w:themeColor="text1"/>
          <w:lang w:val="fr-FR"/>
        </w:rPr>
      </w:pPr>
      <w:r w:rsidRPr="00071410">
        <w:rPr>
          <w:color w:val="000000" w:themeColor="text1"/>
          <w:lang w:val="fr-FR"/>
        </w:rPr>
        <w:t xml:space="preserve">DGSIE : </w:t>
      </w:r>
      <w:r w:rsidRPr="00807339">
        <w:rPr>
          <w:color w:val="000000" w:themeColor="text1"/>
          <w:lang w:val="fr-FR"/>
        </w:rPr>
        <w:t>Direction générale Statistique et Information économique</w:t>
      </w:r>
    </w:p>
    <w:p w:rsidR="000767BF" w:rsidRPr="000767BF" w:rsidRDefault="000767BF" w:rsidP="00C80606">
      <w:pPr>
        <w:rPr>
          <w:lang w:val="fr-BE"/>
        </w:rPr>
      </w:pPr>
      <w:r w:rsidRPr="00807339">
        <w:rPr>
          <w:lang w:val="fr-BE"/>
        </w:rPr>
        <w:t>FEVIA</w:t>
      </w:r>
      <w:r>
        <w:rPr>
          <w:lang w:val="fr-BE"/>
        </w:rPr>
        <w:t xml:space="preserve"> </w:t>
      </w:r>
      <w:r w:rsidRPr="00807339">
        <w:rPr>
          <w:lang w:val="fr-BE"/>
        </w:rPr>
        <w:t>: Fédération de l’industrie alimentaire</w:t>
      </w:r>
    </w:p>
    <w:p w:rsidR="000767BF" w:rsidRPr="000767BF" w:rsidRDefault="000767BF" w:rsidP="00C80606">
      <w:pPr>
        <w:rPr>
          <w:lang w:val="fr-BE"/>
        </w:rPr>
      </w:pPr>
      <w:r w:rsidRPr="00807339">
        <w:rPr>
          <w:lang w:val="fr-BE"/>
        </w:rPr>
        <w:t>NACE 2008 :</w:t>
      </w:r>
      <w:r>
        <w:rPr>
          <w:lang w:val="fr-BE"/>
        </w:rPr>
        <w:t xml:space="preserve"> </w:t>
      </w:r>
      <w:r w:rsidRPr="00807339">
        <w:rPr>
          <w:lang w:val="fr-BE"/>
        </w:rPr>
        <w:t>Nomenclature statistique des Activités économiques dans la Communauté Européenne</w:t>
      </w:r>
      <w:r>
        <w:rPr>
          <w:lang w:val="fr-BE"/>
        </w:rPr>
        <w:t xml:space="preserve"> </w:t>
      </w:r>
    </w:p>
    <w:p w:rsidR="00582936" w:rsidRDefault="00C80606" w:rsidP="00C80606">
      <w:pPr>
        <w:rPr>
          <w:lang w:val="fr-FR"/>
        </w:rPr>
      </w:pPr>
      <w:r w:rsidRPr="00071410">
        <w:rPr>
          <w:lang w:val="fr-FR"/>
        </w:rPr>
        <w:t>NC :</w:t>
      </w:r>
      <w:r w:rsidR="00807339" w:rsidRPr="00AB562A">
        <w:rPr>
          <w:lang w:val="fr-BE"/>
        </w:rPr>
        <w:t xml:space="preserve"> </w:t>
      </w:r>
      <w:r w:rsidR="00807339">
        <w:rPr>
          <w:lang w:val="fr-FR"/>
        </w:rPr>
        <w:t>Nomenclature C</w:t>
      </w:r>
      <w:r w:rsidR="00807339" w:rsidRPr="00807339">
        <w:rPr>
          <w:lang w:val="fr-FR"/>
        </w:rPr>
        <w:t>ombinée</w:t>
      </w:r>
    </w:p>
    <w:p w:rsidR="000767BF" w:rsidRPr="000767BF" w:rsidRDefault="000767BF" w:rsidP="00C80606">
      <w:pPr>
        <w:rPr>
          <w:lang w:val="fr-BE"/>
        </w:rPr>
      </w:pPr>
      <w:r w:rsidRPr="00807339">
        <w:rPr>
          <w:rFonts w:ascii="Calibri" w:eastAsiaTheme="minorEastAsia" w:hAnsi="Calibri"/>
          <w:color w:val="000000" w:themeColor="text1"/>
          <w:kern w:val="24"/>
          <w:lang w:val="fr-BE" w:eastAsia="nl-BE"/>
        </w:rPr>
        <w:t>ONSS</w:t>
      </w:r>
      <w:r>
        <w:rPr>
          <w:rFonts w:ascii="Calibri" w:eastAsiaTheme="minorEastAsia" w:hAnsi="Calibri"/>
          <w:color w:val="000000" w:themeColor="text1"/>
          <w:kern w:val="24"/>
          <w:lang w:val="fr-BE" w:eastAsia="nl-BE"/>
        </w:rPr>
        <w:t xml:space="preserve"> </w:t>
      </w:r>
      <w:r w:rsidRPr="00807339">
        <w:rPr>
          <w:rFonts w:ascii="Calibri" w:eastAsiaTheme="minorEastAsia" w:hAnsi="Calibri"/>
          <w:color w:val="000000" w:themeColor="text1"/>
          <w:kern w:val="24"/>
          <w:lang w:val="fr-BE" w:eastAsia="nl-BE"/>
        </w:rPr>
        <w:t xml:space="preserve">: </w:t>
      </w:r>
      <w:r>
        <w:rPr>
          <w:rFonts w:ascii="Calibri" w:eastAsiaTheme="minorEastAsia" w:hAnsi="Calibri"/>
          <w:color w:val="000000" w:themeColor="text1"/>
          <w:kern w:val="24"/>
          <w:lang w:val="fr-BE" w:eastAsia="nl-BE"/>
        </w:rPr>
        <w:t>Office N</w:t>
      </w:r>
      <w:r w:rsidRPr="00807339">
        <w:rPr>
          <w:rFonts w:ascii="Calibri" w:eastAsiaTheme="minorEastAsia" w:hAnsi="Calibri"/>
          <w:color w:val="000000" w:themeColor="text1"/>
          <w:kern w:val="24"/>
          <w:lang w:val="fr-BE" w:eastAsia="nl-BE"/>
        </w:rPr>
        <w:t>ational</w:t>
      </w:r>
      <w:r>
        <w:rPr>
          <w:rFonts w:ascii="Calibri" w:eastAsiaTheme="minorEastAsia" w:hAnsi="Calibri"/>
          <w:color w:val="000000" w:themeColor="text1"/>
          <w:kern w:val="24"/>
          <w:lang w:val="fr-BE" w:eastAsia="nl-BE"/>
        </w:rPr>
        <w:t xml:space="preserve"> de Sécurité Social</w:t>
      </w:r>
    </w:p>
    <w:p w:rsidR="000767BF" w:rsidRPr="000767BF" w:rsidRDefault="00586765" w:rsidP="00C80606">
      <w:pPr>
        <w:rPr>
          <w:lang w:val="fr-BE"/>
        </w:rPr>
      </w:pPr>
      <w:r w:rsidRPr="00071410">
        <w:rPr>
          <w:lang w:val="fr-BE"/>
        </w:rPr>
        <w:t xml:space="preserve">PME : </w:t>
      </w:r>
      <w:r w:rsidR="00807339">
        <w:rPr>
          <w:lang w:val="fr-BE"/>
        </w:rPr>
        <w:t>Petites et Moyennes E</w:t>
      </w:r>
      <w:r w:rsidR="00807339" w:rsidRPr="00807339">
        <w:rPr>
          <w:lang w:val="fr-BE"/>
        </w:rPr>
        <w:t>ntreprises</w:t>
      </w:r>
    </w:p>
    <w:p w:rsidR="00582936" w:rsidRDefault="00586765" w:rsidP="00582936">
      <w:pPr>
        <w:rPr>
          <w:lang w:val="fr-BE"/>
        </w:rPr>
      </w:pPr>
      <w:r w:rsidRPr="00071410">
        <w:rPr>
          <w:lang w:val="fr-BE"/>
        </w:rPr>
        <w:t xml:space="preserve">SEC : </w:t>
      </w:r>
      <w:r w:rsidR="00807339" w:rsidRPr="00807339">
        <w:rPr>
          <w:lang w:val="fr-BE"/>
        </w:rPr>
        <w:t>Système européen des comptes nationaux et régionaux</w:t>
      </w:r>
    </w:p>
    <w:p w:rsidR="000767BF" w:rsidRPr="000767BF" w:rsidRDefault="000767BF" w:rsidP="00582936">
      <w:pPr>
        <w:rPr>
          <w:lang w:val="en-US"/>
        </w:rPr>
      </w:pPr>
      <w:r w:rsidRPr="00071410">
        <w:rPr>
          <w:color w:val="000000" w:themeColor="text1"/>
          <w:lang w:val="en-US"/>
        </w:rPr>
        <w:t>STBS : short-term business statistics</w:t>
      </w:r>
    </w:p>
    <w:p w:rsidR="00586765" w:rsidRPr="00807339" w:rsidRDefault="00586765" w:rsidP="00582936">
      <w:pPr>
        <w:rPr>
          <w:color w:val="000000" w:themeColor="text1"/>
          <w:lang w:val="fr-BE"/>
        </w:rPr>
      </w:pPr>
      <w:r w:rsidRPr="00071410">
        <w:rPr>
          <w:color w:val="000000" w:themeColor="text1"/>
          <w:lang w:val="fr-FR"/>
        </w:rPr>
        <w:t xml:space="preserve">T.V.A. : </w:t>
      </w:r>
      <w:r w:rsidR="00807339" w:rsidRPr="00807339">
        <w:rPr>
          <w:rFonts w:cs="Arial"/>
          <w:iCs/>
          <w:color w:val="000000" w:themeColor="text1"/>
          <w:shd w:val="clear" w:color="auto" w:fill="FFFFFF"/>
          <w:lang w:val="fr-BE"/>
        </w:rPr>
        <w:t>Taxe sur la Valeur Ajoutée</w:t>
      </w:r>
    </w:p>
    <w:p w:rsidR="00582936" w:rsidRPr="00807339" w:rsidRDefault="00071410" w:rsidP="00582936">
      <w:pPr>
        <w:rPr>
          <w:color w:val="000000" w:themeColor="text1"/>
        </w:rPr>
      </w:pPr>
      <w:r w:rsidRPr="00807339">
        <w:rPr>
          <w:color w:val="000000" w:themeColor="text1"/>
        </w:rPr>
        <w:t>WSE</w:t>
      </w:r>
      <w:r w:rsidR="00807339" w:rsidRPr="00807339">
        <w:rPr>
          <w:color w:val="000000" w:themeColor="text1"/>
        </w:rPr>
        <w:t xml:space="preserve"> : </w:t>
      </w:r>
      <w:r w:rsidR="00807339" w:rsidRPr="00807339">
        <w:rPr>
          <w:rFonts w:cs="Arial"/>
          <w:color w:val="000000" w:themeColor="text1"/>
          <w:shd w:val="clear" w:color="auto" w:fill="FFFFFF"/>
        </w:rPr>
        <w:t>Steunpunt</w:t>
      </w:r>
      <w:r w:rsidR="00807339" w:rsidRPr="00807339">
        <w:rPr>
          <w:rStyle w:val="apple-converted-space"/>
          <w:rFonts w:cs="Arial"/>
          <w:color w:val="000000" w:themeColor="text1"/>
          <w:shd w:val="clear" w:color="auto" w:fill="FFFFFF"/>
        </w:rPr>
        <w:t> </w:t>
      </w:r>
      <w:r w:rsidR="00807339" w:rsidRPr="00807339">
        <w:rPr>
          <w:rStyle w:val="Emphasis"/>
          <w:rFonts w:cs="Arial"/>
          <w:bCs/>
          <w:i w:val="0"/>
          <w:iCs w:val="0"/>
          <w:color w:val="000000" w:themeColor="text1"/>
          <w:shd w:val="clear" w:color="auto" w:fill="FFFFFF"/>
        </w:rPr>
        <w:t>Werk en Sociale Economie</w:t>
      </w:r>
    </w:p>
    <w:p w:rsidR="00582936" w:rsidRPr="006D6AB1" w:rsidRDefault="00582936" w:rsidP="00582936"/>
    <w:p w:rsidR="00582936" w:rsidRPr="006D6AB1" w:rsidRDefault="00582936" w:rsidP="00582936"/>
    <w:p w:rsidR="00582936" w:rsidRPr="006D6AB1" w:rsidRDefault="00582936" w:rsidP="00582936"/>
    <w:p w:rsidR="00582936" w:rsidRPr="006D6AB1" w:rsidRDefault="00582936" w:rsidP="00582936"/>
    <w:p w:rsidR="00582936" w:rsidRPr="006D6AB1" w:rsidRDefault="00582936" w:rsidP="00582936"/>
    <w:p w:rsidR="00582936" w:rsidRPr="006D6AB1" w:rsidRDefault="00582936" w:rsidP="00582936"/>
    <w:p w:rsidR="00582936" w:rsidRPr="006D6AB1" w:rsidRDefault="00582936" w:rsidP="00582936"/>
    <w:p w:rsidR="00582936" w:rsidRPr="006D6AB1" w:rsidRDefault="00582936" w:rsidP="00582936"/>
    <w:p w:rsidR="00582936" w:rsidRPr="006D6AB1" w:rsidRDefault="00582936" w:rsidP="00582936"/>
    <w:p w:rsidR="00582936" w:rsidRPr="006D6AB1" w:rsidRDefault="00582936" w:rsidP="00582936"/>
    <w:p w:rsidR="00582936" w:rsidRPr="006D6AB1" w:rsidRDefault="00582936" w:rsidP="00582936"/>
    <w:p w:rsidR="00582936" w:rsidRPr="006D6AB1" w:rsidRDefault="00582936" w:rsidP="00582936"/>
    <w:p w:rsidR="00582936" w:rsidRPr="006D6AB1" w:rsidRDefault="00582936" w:rsidP="00582936"/>
    <w:p w:rsidR="00582936" w:rsidRPr="006D6AB1" w:rsidRDefault="00582936" w:rsidP="00582936"/>
    <w:p w:rsidR="00582936" w:rsidRPr="006D6AB1" w:rsidRDefault="00582936" w:rsidP="00582936"/>
    <w:p w:rsidR="00582936" w:rsidRPr="006D6AB1" w:rsidRDefault="00582936" w:rsidP="00582936"/>
    <w:p w:rsidR="00582936" w:rsidRPr="006D6AB1" w:rsidRDefault="00582936" w:rsidP="00582936"/>
    <w:p w:rsidR="00582936" w:rsidRPr="006D6AB1" w:rsidRDefault="00582936" w:rsidP="00582936"/>
    <w:p w:rsidR="00582936" w:rsidRPr="006D6AB1" w:rsidRDefault="00582936" w:rsidP="00582936"/>
    <w:p w:rsidR="00582936" w:rsidRPr="006D6AB1" w:rsidRDefault="00582936" w:rsidP="00582936"/>
    <w:p w:rsidR="00582936" w:rsidRPr="006D6AB1" w:rsidRDefault="00582936" w:rsidP="00582936"/>
    <w:p w:rsidR="004653D0" w:rsidRPr="006D6AB1" w:rsidRDefault="004653D0" w:rsidP="00B213E5">
      <w:pPr>
        <w:rPr>
          <w:b/>
          <w:sz w:val="18"/>
          <w:szCs w:val="18"/>
        </w:rPr>
      </w:pPr>
    </w:p>
    <w:p w:rsidR="00701D4D" w:rsidRPr="006D6AB1" w:rsidRDefault="00701D4D" w:rsidP="00B213E5">
      <w:pPr>
        <w:rPr>
          <w:b/>
          <w:sz w:val="18"/>
          <w:szCs w:val="18"/>
        </w:rPr>
      </w:pPr>
    </w:p>
    <w:p w:rsidR="009354CF" w:rsidRPr="006D6AB1" w:rsidRDefault="009354CF" w:rsidP="009354CF"/>
    <w:p w:rsidR="009354CF" w:rsidRPr="006D6AB1" w:rsidRDefault="009354CF" w:rsidP="009354CF"/>
    <w:p w:rsidR="001E585F" w:rsidRPr="006D6AB1" w:rsidRDefault="001E585F" w:rsidP="00842A73">
      <w:pPr>
        <w:jc w:val="both"/>
      </w:pPr>
    </w:p>
    <w:sectPr w:rsidR="001E585F" w:rsidRPr="006D6AB1" w:rsidSect="004653D0">
      <w:headerReference w:type="default" r:id="rId29"/>
      <w:footerReference w:type="default" r:id="rId30"/>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29C" w:rsidRDefault="0001429C" w:rsidP="00ED5845">
      <w:pPr>
        <w:spacing w:after="0" w:line="240" w:lineRule="auto"/>
      </w:pPr>
      <w:r>
        <w:separator/>
      </w:r>
    </w:p>
  </w:endnote>
  <w:endnote w:type="continuationSeparator" w:id="0">
    <w:p w:rsidR="0001429C" w:rsidRDefault="0001429C" w:rsidP="00ED58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BreuerCondensed-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4208579"/>
      <w:docPartObj>
        <w:docPartGallery w:val="Page Numbers (Bottom of Page)"/>
        <w:docPartUnique/>
      </w:docPartObj>
    </w:sdtPr>
    <w:sdtEndPr>
      <w:rPr>
        <w:noProof/>
      </w:rPr>
    </w:sdtEndPr>
    <w:sdtContent>
      <w:p w:rsidR="00585E44" w:rsidRDefault="00585E44">
        <w:pPr>
          <w:pStyle w:val="Footer"/>
          <w:jc w:val="right"/>
        </w:pPr>
        <w:r>
          <w:fldChar w:fldCharType="begin"/>
        </w:r>
        <w:r>
          <w:instrText xml:space="preserve"> PAGE   \* MERGEFORMAT </w:instrText>
        </w:r>
        <w:r>
          <w:fldChar w:fldCharType="separate"/>
        </w:r>
        <w:r w:rsidR="00AB7BC9">
          <w:rPr>
            <w:noProof/>
          </w:rPr>
          <w:t>1</w:t>
        </w:r>
        <w:r>
          <w:rPr>
            <w:noProof/>
          </w:rPr>
          <w:fldChar w:fldCharType="end"/>
        </w:r>
      </w:p>
    </w:sdtContent>
  </w:sdt>
  <w:p w:rsidR="00585E44" w:rsidRPr="00ED5845" w:rsidRDefault="00585E44">
    <w:pPr>
      <w:pStyle w:val="Footer"/>
      <w:rPr>
        <w:lang w:val="fr-F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E44" w:rsidRDefault="00585E44">
    <w:pPr>
      <w:pStyle w:val="Footer"/>
      <w:jc w:val="right"/>
    </w:pPr>
  </w:p>
  <w:p w:rsidR="00585E44" w:rsidRPr="00ED5845" w:rsidRDefault="00585E44">
    <w:pPr>
      <w:pStyle w:val="Footer"/>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29C" w:rsidRDefault="0001429C" w:rsidP="00ED5845">
      <w:pPr>
        <w:spacing w:after="0" w:line="240" w:lineRule="auto"/>
      </w:pPr>
      <w:r>
        <w:separator/>
      </w:r>
    </w:p>
  </w:footnote>
  <w:footnote w:type="continuationSeparator" w:id="0">
    <w:p w:rsidR="0001429C" w:rsidRDefault="0001429C" w:rsidP="00ED5845">
      <w:pPr>
        <w:spacing w:after="0" w:line="240" w:lineRule="auto"/>
      </w:pPr>
      <w:r>
        <w:continuationSeparator/>
      </w:r>
    </w:p>
  </w:footnote>
  <w:footnote w:id="1">
    <w:p w:rsidR="00585E44" w:rsidRPr="00796DBF" w:rsidRDefault="00585E44">
      <w:pPr>
        <w:pStyle w:val="FootnoteText"/>
        <w:rPr>
          <w:lang w:val="fr-BE"/>
        </w:rPr>
      </w:pPr>
      <w:r>
        <w:rPr>
          <w:rStyle w:val="FootnoteReference"/>
        </w:rPr>
        <w:footnoteRef/>
      </w:r>
      <w:r w:rsidRPr="00796DBF">
        <w:rPr>
          <w:lang w:val="fr-BE"/>
        </w:rPr>
        <w:t xml:space="preserve"> Estimations FEVIA wallonie et IDEA consult.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E44" w:rsidRPr="00582936" w:rsidRDefault="00585E44">
    <w:pPr>
      <w:pStyle w:val="Header"/>
      <w:rPr>
        <w:lang w:val="en-US"/>
      </w:rPr>
    </w:pPr>
    <w:r>
      <w:rPr>
        <w:noProof/>
        <w:lang w:eastAsia="nl-BE"/>
      </w:rPr>
      <w:drawing>
        <wp:anchor distT="0" distB="0" distL="114300" distR="114300" simplePos="0" relativeHeight="251659264" behindDoc="0" locked="0" layoutInCell="1" allowOverlap="1" wp14:anchorId="35A3A56F" wp14:editId="620E5A94">
          <wp:simplePos x="0" y="0"/>
          <wp:positionH relativeFrom="margin">
            <wp:posOffset>3783330</wp:posOffset>
          </wp:positionH>
          <wp:positionV relativeFrom="paragraph">
            <wp:posOffset>9525</wp:posOffset>
          </wp:positionV>
          <wp:extent cx="2257425" cy="828675"/>
          <wp:effectExtent l="0" t="0" r="9525" b="9525"/>
          <wp:wrapNone/>
          <wp:docPr id="31" name="Picture 31" descr="E:\FOOD.be\FOOD.be administatie\Logo's\NEW Logo Food.be\Logo\2014_FOOD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OOD.be\FOOD.be administatie\Logo's\NEW Logo Food.be\Logo\2014_FOOD_Logo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742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2936">
      <w:rPr>
        <w:noProof/>
        <w:lang w:eastAsia="nl-BE"/>
      </w:rPr>
      <w:drawing>
        <wp:inline distT="0" distB="0" distL="0" distR="0" wp14:anchorId="5BB5D600" wp14:editId="69DFAFF7">
          <wp:extent cx="1581150" cy="837370"/>
          <wp:effectExtent l="0" t="0" r="0" b="1270"/>
          <wp:docPr id="6" name="Picture 6" descr="E:\Originele docs\Logo's Nieuw\Fevia_logo\JPEG\Fevia_logo_Wallo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riginele docs\Logo's Nieuw\Fevia_logo\JPEG\Fevia_logo_Walloni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1412" cy="848101"/>
                  </a:xfrm>
                  <a:prstGeom prst="rect">
                    <a:avLst/>
                  </a:prstGeom>
                  <a:noFill/>
                  <a:ln>
                    <a:noFill/>
                  </a:ln>
                </pic:spPr>
              </pic:pic>
            </a:graphicData>
          </a:graphic>
        </wp:inline>
      </w:drawing>
    </w:r>
    <w:r>
      <w:ptab w:relativeTo="margin" w:alignment="center" w:leader="none"/>
    </w:r>
    <w:r>
      <w:ptab w:relativeTo="margin" w:alignment="right"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E44" w:rsidRPr="00582936" w:rsidRDefault="00585E44">
    <w:pPr>
      <w:pStyle w:val="Header"/>
      <w:rPr>
        <w:lang w:val="en-US"/>
      </w:rPr>
    </w:pPr>
    <w:r>
      <w:ptab w:relativeTo="margin" w:alignment="center" w:leader="none"/>
    </w:r>
    <w:r>
      <w:ptab w:relativeTo="margin" w:alignment="right"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5E44" w:rsidRPr="00582936" w:rsidRDefault="00585E44">
    <w:pPr>
      <w:pStyle w:val="Header"/>
      <w:rPr>
        <w:lang w:val="en-US"/>
      </w:rPr>
    </w:pPr>
    <w:r>
      <w:rPr>
        <w:noProof/>
        <w:lang w:eastAsia="nl-BE"/>
      </w:rPr>
      <w:drawing>
        <wp:anchor distT="0" distB="0" distL="114300" distR="114300" simplePos="0" relativeHeight="251661312" behindDoc="0" locked="0" layoutInCell="1" allowOverlap="1" wp14:anchorId="456E7B22" wp14:editId="3A76B07A">
          <wp:simplePos x="0" y="0"/>
          <wp:positionH relativeFrom="margin">
            <wp:posOffset>3667125</wp:posOffset>
          </wp:positionH>
          <wp:positionV relativeFrom="paragraph">
            <wp:posOffset>7620</wp:posOffset>
          </wp:positionV>
          <wp:extent cx="2257425" cy="828675"/>
          <wp:effectExtent l="0" t="0" r="9525" b="9525"/>
          <wp:wrapNone/>
          <wp:docPr id="14" name="Picture 14" descr="E:\FOOD.be\FOOD.be administatie\Logo's\NEW Logo Food.be\Logo\2014_FOOD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OOD.be\FOOD.be administatie\Logo's\NEW Logo Food.be\Logo\2014_FOOD_Logo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742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2936">
      <w:rPr>
        <w:noProof/>
        <w:lang w:eastAsia="nl-BE"/>
      </w:rPr>
      <w:drawing>
        <wp:inline distT="0" distB="0" distL="0" distR="0" wp14:anchorId="765D0C16" wp14:editId="6AA5AB0A">
          <wp:extent cx="1581150" cy="837370"/>
          <wp:effectExtent l="0" t="0" r="0" b="1270"/>
          <wp:docPr id="18" name="Picture 18" descr="E:\Originele docs\Logo's Nieuw\Fevia_logo\JPEG\Fevia_logo_Wallo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riginele docs\Logo's Nieuw\Fevia_logo\JPEG\Fevia_logo_Walloni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1412" cy="848101"/>
                  </a:xfrm>
                  <a:prstGeom prst="rect">
                    <a:avLst/>
                  </a:prstGeom>
                  <a:noFill/>
                  <a:ln>
                    <a:noFill/>
                  </a:ln>
                </pic:spPr>
              </pic:pic>
            </a:graphicData>
          </a:graphic>
        </wp:inline>
      </w:drawing>
    </w:r>
    <w: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472503"/>
    <w:multiLevelType w:val="multilevel"/>
    <w:tmpl w:val="D0E43A4C"/>
    <w:lvl w:ilvl="0">
      <w:start w:val="1"/>
      <w:numFmt w:val="decimal"/>
      <w:lvlText w:val="%1."/>
      <w:lvlJc w:val="left"/>
      <w:pPr>
        <w:ind w:left="108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 w15:restartNumberingAfterBreak="0">
    <w:nsid w:val="7AF72EC1"/>
    <w:multiLevelType w:val="multilevel"/>
    <w:tmpl w:val="8AB0F786"/>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42B"/>
    <w:rsid w:val="00001C1E"/>
    <w:rsid w:val="0001429C"/>
    <w:rsid w:val="0001776D"/>
    <w:rsid w:val="00020AAA"/>
    <w:rsid w:val="00021A99"/>
    <w:rsid w:val="00021F22"/>
    <w:rsid w:val="0003097C"/>
    <w:rsid w:val="0003380D"/>
    <w:rsid w:val="00036AB7"/>
    <w:rsid w:val="00036C63"/>
    <w:rsid w:val="00042F32"/>
    <w:rsid w:val="000514D7"/>
    <w:rsid w:val="0005231F"/>
    <w:rsid w:val="00056B25"/>
    <w:rsid w:val="0006387C"/>
    <w:rsid w:val="00063ACB"/>
    <w:rsid w:val="00071410"/>
    <w:rsid w:val="000767BF"/>
    <w:rsid w:val="00076EA9"/>
    <w:rsid w:val="00084E86"/>
    <w:rsid w:val="00090358"/>
    <w:rsid w:val="0009343A"/>
    <w:rsid w:val="000A2655"/>
    <w:rsid w:val="000A3024"/>
    <w:rsid w:val="000C1140"/>
    <w:rsid w:val="000C4098"/>
    <w:rsid w:val="000C43EE"/>
    <w:rsid w:val="000E604F"/>
    <w:rsid w:val="000E7E45"/>
    <w:rsid w:val="00101326"/>
    <w:rsid w:val="00120115"/>
    <w:rsid w:val="001308A8"/>
    <w:rsid w:val="00131FD1"/>
    <w:rsid w:val="001321BC"/>
    <w:rsid w:val="00137831"/>
    <w:rsid w:val="00140208"/>
    <w:rsid w:val="00140980"/>
    <w:rsid w:val="00140AB3"/>
    <w:rsid w:val="00141198"/>
    <w:rsid w:val="00143E37"/>
    <w:rsid w:val="00155571"/>
    <w:rsid w:val="00165B6E"/>
    <w:rsid w:val="00176EB6"/>
    <w:rsid w:val="00177B8C"/>
    <w:rsid w:val="00181653"/>
    <w:rsid w:val="00187838"/>
    <w:rsid w:val="00191FEE"/>
    <w:rsid w:val="001A357D"/>
    <w:rsid w:val="001B5A7E"/>
    <w:rsid w:val="001B677D"/>
    <w:rsid w:val="001C100A"/>
    <w:rsid w:val="001C4106"/>
    <w:rsid w:val="001C73D9"/>
    <w:rsid w:val="001D562C"/>
    <w:rsid w:val="001D6C4C"/>
    <w:rsid w:val="001E4822"/>
    <w:rsid w:val="001E585F"/>
    <w:rsid w:val="001E5FAE"/>
    <w:rsid w:val="001E6165"/>
    <w:rsid w:val="0020105A"/>
    <w:rsid w:val="00206BC8"/>
    <w:rsid w:val="0020751C"/>
    <w:rsid w:val="00213826"/>
    <w:rsid w:val="00233197"/>
    <w:rsid w:val="00234987"/>
    <w:rsid w:val="00237F50"/>
    <w:rsid w:val="00242510"/>
    <w:rsid w:val="0024719E"/>
    <w:rsid w:val="00252AA6"/>
    <w:rsid w:val="002562C9"/>
    <w:rsid w:val="0025776E"/>
    <w:rsid w:val="0026224A"/>
    <w:rsid w:val="002648B3"/>
    <w:rsid w:val="0026525F"/>
    <w:rsid w:val="00271476"/>
    <w:rsid w:val="00271861"/>
    <w:rsid w:val="00271BDB"/>
    <w:rsid w:val="0029212A"/>
    <w:rsid w:val="00294900"/>
    <w:rsid w:val="00296DD4"/>
    <w:rsid w:val="002974AB"/>
    <w:rsid w:val="002B4450"/>
    <w:rsid w:val="002B5595"/>
    <w:rsid w:val="002B58E7"/>
    <w:rsid w:val="002C2141"/>
    <w:rsid w:val="002C5C82"/>
    <w:rsid w:val="002C6B56"/>
    <w:rsid w:val="002D28EC"/>
    <w:rsid w:val="002E04AB"/>
    <w:rsid w:val="002F23CB"/>
    <w:rsid w:val="002F40AB"/>
    <w:rsid w:val="00300E3F"/>
    <w:rsid w:val="00307532"/>
    <w:rsid w:val="00311B89"/>
    <w:rsid w:val="00313D58"/>
    <w:rsid w:val="00322E22"/>
    <w:rsid w:val="00325B85"/>
    <w:rsid w:val="00336C95"/>
    <w:rsid w:val="00342A85"/>
    <w:rsid w:val="0036469B"/>
    <w:rsid w:val="00366380"/>
    <w:rsid w:val="003737E0"/>
    <w:rsid w:val="0038021A"/>
    <w:rsid w:val="003957C5"/>
    <w:rsid w:val="003A388A"/>
    <w:rsid w:val="003B40C2"/>
    <w:rsid w:val="003E5737"/>
    <w:rsid w:val="00407238"/>
    <w:rsid w:val="0041456D"/>
    <w:rsid w:val="004156A8"/>
    <w:rsid w:val="00423E63"/>
    <w:rsid w:val="00431467"/>
    <w:rsid w:val="004319CA"/>
    <w:rsid w:val="00434F80"/>
    <w:rsid w:val="004565AC"/>
    <w:rsid w:val="00460A30"/>
    <w:rsid w:val="004653D0"/>
    <w:rsid w:val="00466812"/>
    <w:rsid w:val="004672F2"/>
    <w:rsid w:val="00493CBA"/>
    <w:rsid w:val="00497F5D"/>
    <w:rsid w:val="004B63DB"/>
    <w:rsid w:val="004C1024"/>
    <w:rsid w:val="004C2C60"/>
    <w:rsid w:val="004C5E12"/>
    <w:rsid w:val="004D6CC9"/>
    <w:rsid w:val="004E0C95"/>
    <w:rsid w:val="004E5A73"/>
    <w:rsid w:val="004F2237"/>
    <w:rsid w:val="00522DA4"/>
    <w:rsid w:val="00527BBA"/>
    <w:rsid w:val="00535D05"/>
    <w:rsid w:val="00544649"/>
    <w:rsid w:val="00554F6B"/>
    <w:rsid w:val="00557D75"/>
    <w:rsid w:val="00562FF0"/>
    <w:rsid w:val="00571353"/>
    <w:rsid w:val="00582936"/>
    <w:rsid w:val="005844DD"/>
    <w:rsid w:val="00585E44"/>
    <w:rsid w:val="00586765"/>
    <w:rsid w:val="00592176"/>
    <w:rsid w:val="005B13A9"/>
    <w:rsid w:val="005B5457"/>
    <w:rsid w:val="005C3B7F"/>
    <w:rsid w:val="005D0689"/>
    <w:rsid w:val="005D1B6B"/>
    <w:rsid w:val="005E1004"/>
    <w:rsid w:val="005E2EEC"/>
    <w:rsid w:val="006022D3"/>
    <w:rsid w:val="006130C8"/>
    <w:rsid w:val="006226B3"/>
    <w:rsid w:val="00624AD1"/>
    <w:rsid w:val="006328B1"/>
    <w:rsid w:val="00633CDD"/>
    <w:rsid w:val="00642C01"/>
    <w:rsid w:val="00645AC7"/>
    <w:rsid w:val="00650BD4"/>
    <w:rsid w:val="00651B4D"/>
    <w:rsid w:val="006538E2"/>
    <w:rsid w:val="00663084"/>
    <w:rsid w:val="00665A5C"/>
    <w:rsid w:val="0066661F"/>
    <w:rsid w:val="00680162"/>
    <w:rsid w:val="006925D0"/>
    <w:rsid w:val="00694E60"/>
    <w:rsid w:val="00695AFE"/>
    <w:rsid w:val="00697282"/>
    <w:rsid w:val="00697820"/>
    <w:rsid w:val="006A0561"/>
    <w:rsid w:val="006A74C3"/>
    <w:rsid w:val="006B01B3"/>
    <w:rsid w:val="006C2669"/>
    <w:rsid w:val="006C70DD"/>
    <w:rsid w:val="006D6AB1"/>
    <w:rsid w:val="006E5BBB"/>
    <w:rsid w:val="006E706C"/>
    <w:rsid w:val="006F6C06"/>
    <w:rsid w:val="00701BAB"/>
    <w:rsid w:val="00701D4D"/>
    <w:rsid w:val="00702AA7"/>
    <w:rsid w:val="007048ED"/>
    <w:rsid w:val="007049B0"/>
    <w:rsid w:val="007141D5"/>
    <w:rsid w:val="007228BA"/>
    <w:rsid w:val="00723E9B"/>
    <w:rsid w:val="007271DD"/>
    <w:rsid w:val="00733974"/>
    <w:rsid w:val="007444C8"/>
    <w:rsid w:val="00755C98"/>
    <w:rsid w:val="0076292A"/>
    <w:rsid w:val="007632C0"/>
    <w:rsid w:val="00763AAE"/>
    <w:rsid w:val="0076465D"/>
    <w:rsid w:val="00764F23"/>
    <w:rsid w:val="00770BC4"/>
    <w:rsid w:val="00771434"/>
    <w:rsid w:val="007735EC"/>
    <w:rsid w:val="00775D1B"/>
    <w:rsid w:val="0079174C"/>
    <w:rsid w:val="00796DBF"/>
    <w:rsid w:val="007B2B48"/>
    <w:rsid w:val="007C7627"/>
    <w:rsid w:val="007D013D"/>
    <w:rsid w:val="007D1AC2"/>
    <w:rsid w:val="007D405E"/>
    <w:rsid w:val="007E020D"/>
    <w:rsid w:val="007E59A6"/>
    <w:rsid w:val="007F74A1"/>
    <w:rsid w:val="0080200C"/>
    <w:rsid w:val="008029B3"/>
    <w:rsid w:val="00804A6F"/>
    <w:rsid w:val="00807339"/>
    <w:rsid w:val="00820AE3"/>
    <w:rsid w:val="008230BF"/>
    <w:rsid w:val="008230D5"/>
    <w:rsid w:val="00840C42"/>
    <w:rsid w:val="00842A73"/>
    <w:rsid w:val="00845150"/>
    <w:rsid w:val="00845180"/>
    <w:rsid w:val="00846622"/>
    <w:rsid w:val="00847718"/>
    <w:rsid w:val="00853717"/>
    <w:rsid w:val="00854435"/>
    <w:rsid w:val="0085778F"/>
    <w:rsid w:val="008737B7"/>
    <w:rsid w:val="00880C3D"/>
    <w:rsid w:val="008828AA"/>
    <w:rsid w:val="00893505"/>
    <w:rsid w:val="0089793F"/>
    <w:rsid w:val="008B3B92"/>
    <w:rsid w:val="008B4235"/>
    <w:rsid w:val="008D2FD8"/>
    <w:rsid w:val="008D36BE"/>
    <w:rsid w:val="008D689C"/>
    <w:rsid w:val="008E3AEC"/>
    <w:rsid w:val="008E52BB"/>
    <w:rsid w:val="008E5CAA"/>
    <w:rsid w:val="008E5EC1"/>
    <w:rsid w:val="008E698A"/>
    <w:rsid w:val="008F4B14"/>
    <w:rsid w:val="008F542B"/>
    <w:rsid w:val="00900813"/>
    <w:rsid w:val="0090304D"/>
    <w:rsid w:val="009050A9"/>
    <w:rsid w:val="00920918"/>
    <w:rsid w:val="009354CF"/>
    <w:rsid w:val="009522E4"/>
    <w:rsid w:val="00967640"/>
    <w:rsid w:val="00973A0F"/>
    <w:rsid w:val="00987582"/>
    <w:rsid w:val="00992C10"/>
    <w:rsid w:val="00993B6D"/>
    <w:rsid w:val="009B1324"/>
    <w:rsid w:val="009B7B00"/>
    <w:rsid w:val="009C20C7"/>
    <w:rsid w:val="009C24DE"/>
    <w:rsid w:val="009C50C5"/>
    <w:rsid w:val="009C696D"/>
    <w:rsid w:val="009E0F18"/>
    <w:rsid w:val="00A0754E"/>
    <w:rsid w:val="00A15B47"/>
    <w:rsid w:val="00A175E7"/>
    <w:rsid w:val="00A2202B"/>
    <w:rsid w:val="00A40172"/>
    <w:rsid w:val="00A44CDB"/>
    <w:rsid w:val="00A44FC8"/>
    <w:rsid w:val="00A509A4"/>
    <w:rsid w:val="00A53E2E"/>
    <w:rsid w:val="00A95DF4"/>
    <w:rsid w:val="00A96010"/>
    <w:rsid w:val="00AA2FF7"/>
    <w:rsid w:val="00AB43CE"/>
    <w:rsid w:val="00AB562A"/>
    <w:rsid w:val="00AB7BC9"/>
    <w:rsid w:val="00AC0E17"/>
    <w:rsid w:val="00AC4B9D"/>
    <w:rsid w:val="00AC57C5"/>
    <w:rsid w:val="00AD00FB"/>
    <w:rsid w:val="00AD36DA"/>
    <w:rsid w:val="00AD494E"/>
    <w:rsid w:val="00AF0008"/>
    <w:rsid w:val="00AF016F"/>
    <w:rsid w:val="00AF5D26"/>
    <w:rsid w:val="00B04F5B"/>
    <w:rsid w:val="00B10315"/>
    <w:rsid w:val="00B121A1"/>
    <w:rsid w:val="00B134BF"/>
    <w:rsid w:val="00B13F01"/>
    <w:rsid w:val="00B155DA"/>
    <w:rsid w:val="00B213E5"/>
    <w:rsid w:val="00B22B94"/>
    <w:rsid w:val="00B26767"/>
    <w:rsid w:val="00B401FD"/>
    <w:rsid w:val="00B41E78"/>
    <w:rsid w:val="00B63158"/>
    <w:rsid w:val="00B670F0"/>
    <w:rsid w:val="00B7159D"/>
    <w:rsid w:val="00B74534"/>
    <w:rsid w:val="00B803BC"/>
    <w:rsid w:val="00B80B7C"/>
    <w:rsid w:val="00B867C9"/>
    <w:rsid w:val="00B9791A"/>
    <w:rsid w:val="00BA01FC"/>
    <w:rsid w:val="00BA408B"/>
    <w:rsid w:val="00BA66EB"/>
    <w:rsid w:val="00BB6EE5"/>
    <w:rsid w:val="00BC0468"/>
    <w:rsid w:val="00BD35D4"/>
    <w:rsid w:val="00BD632A"/>
    <w:rsid w:val="00BD7CCC"/>
    <w:rsid w:val="00BE4F2E"/>
    <w:rsid w:val="00BE6EE4"/>
    <w:rsid w:val="00BF3EDF"/>
    <w:rsid w:val="00C270C8"/>
    <w:rsid w:val="00C432D5"/>
    <w:rsid w:val="00C438A9"/>
    <w:rsid w:val="00C43A9A"/>
    <w:rsid w:val="00C52402"/>
    <w:rsid w:val="00C573FE"/>
    <w:rsid w:val="00C62C6D"/>
    <w:rsid w:val="00C67E0B"/>
    <w:rsid w:val="00C7072B"/>
    <w:rsid w:val="00C72C04"/>
    <w:rsid w:val="00C80606"/>
    <w:rsid w:val="00C82BAC"/>
    <w:rsid w:val="00C84FAC"/>
    <w:rsid w:val="00C91134"/>
    <w:rsid w:val="00CA4D67"/>
    <w:rsid w:val="00CA5EFB"/>
    <w:rsid w:val="00CC4600"/>
    <w:rsid w:val="00CD4113"/>
    <w:rsid w:val="00CE0E99"/>
    <w:rsid w:val="00CE3C69"/>
    <w:rsid w:val="00CF7F9F"/>
    <w:rsid w:val="00D11C3F"/>
    <w:rsid w:val="00D14EEE"/>
    <w:rsid w:val="00D226D4"/>
    <w:rsid w:val="00D45A7B"/>
    <w:rsid w:val="00D533C6"/>
    <w:rsid w:val="00D55C72"/>
    <w:rsid w:val="00D60A94"/>
    <w:rsid w:val="00D63D08"/>
    <w:rsid w:val="00D75F84"/>
    <w:rsid w:val="00D9030C"/>
    <w:rsid w:val="00D909BF"/>
    <w:rsid w:val="00DA1FB2"/>
    <w:rsid w:val="00DA5CCD"/>
    <w:rsid w:val="00DB13EC"/>
    <w:rsid w:val="00DD0A44"/>
    <w:rsid w:val="00DE36AB"/>
    <w:rsid w:val="00DF6AE6"/>
    <w:rsid w:val="00E162E7"/>
    <w:rsid w:val="00E23503"/>
    <w:rsid w:val="00E30644"/>
    <w:rsid w:val="00E338FF"/>
    <w:rsid w:val="00E3518D"/>
    <w:rsid w:val="00E37D11"/>
    <w:rsid w:val="00E404C0"/>
    <w:rsid w:val="00E47D89"/>
    <w:rsid w:val="00E5601E"/>
    <w:rsid w:val="00E710EA"/>
    <w:rsid w:val="00E73CB5"/>
    <w:rsid w:val="00E81315"/>
    <w:rsid w:val="00E87490"/>
    <w:rsid w:val="00E905AC"/>
    <w:rsid w:val="00EA08D2"/>
    <w:rsid w:val="00EB2410"/>
    <w:rsid w:val="00EB34DB"/>
    <w:rsid w:val="00ED3F52"/>
    <w:rsid w:val="00ED4AA4"/>
    <w:rsid w:val="00ED5845"/>
    <w:rsid w:val="00ED60FB"/>
    <w:rsid w:val="00EF11C4"/>
    <w:rsid w:val="00EF294E"/>
    <w:rsid w:val="00EF553E"/>
    <w:rsid w:val="00F00CB5"/>
    <w:rsid w:val="00F042E1"/>
    <w:rsid w:val="00F27052"/>
    <w:rsid w:val="00F32DD6"/>
    <w:rsid w:val="00F543CC"/>
    <w:rsid w:val="00F5650F"/>
    <w:rsid w:val="00F56538"/>
    <w:rsid w:val="00F65781"/>
    <w:rsid w:val="00F6679A"/>
    <w:rsid w:val="00F72A8A"/>
    <w:rsid w:val="00F73E8A"/>
    <w:rsid w:val="00F7434A"/>
    <w:rsid w:val="00F743A9"/>
    <w:rsid w:val="00F74E31"/>
    <w:rsid w:val="00F8207E"/>
    <w:rsid w:val="00F87870"/>
    <w:rsid w:val="00FA1725"/>
    <w:rsid w:val="00FA33EF"/>
    <w:rsid w:val="00FA6E9F"/>
    <w:rsid w:val="00FC418D"/>
    <w:rsid w:val="00FC52CD"/>
    <w:rsid w:val="00FC548D"/>
    <w:rsid w:val="00FD0274"/>
    <w:rsid w:val="00FF711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D67F97CB-85A9-45A4-BEA5-91C702901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0358"/>
  </w:style>
  <w:style w:type="paragraph" w:styleId="Heading1">
    <w:name w:val="heading 1"/>
    <w:basedOn w:val="Normal"/>
    <w:next w:val="Normal"/>
    <w:link w:val="Heading1Char"/>
    <w:uiPriority w:val="9"/>
    <w:qFormat/>
    <w:rsid w:val="00020A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A1FB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F542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F542B"/>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8F54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542B"/>
    <w:rPr>
      <w:rFonts w:ascii="Tahoma" w:hAnsi="Tahoma" w:cs="Tahoma"/>
      <w:sz w:val="16"/>
      <w:szCs w:val="16"/>
    </w:rPr>
  </w:style>
  <w:style w:type="paragraph" w:customStyle="1" w:styleId="Default">
    <w:name w:val="Default"/>
    <w:rsid w:val="00020AAA"/>
    <w:pPr>
      <w:autoSpaceDE w:val="0"/>
      <w:autoSpaceDN w:val="0"/>
      <w:adjustRightInd w:val="0"/>
      <w:spacing w:after="0" w:line="240" w:lineRule="auto"/>
    </w:pPr>
    <w:rPr>
      <w:rFonts w:ascii="Myriad Pro Light" w:hAnsi="Myriad Pro Light" w:cs="Myriad Pro Light"/>
      <w:color w:val="000000"/>
      <w:sz w:val="24"/>
      <w:szCs w:val="24"/>
    </w:rPr>
  </w:style>
  <w:style w:type="character" w:customStyle="1" w:styleId="Heading1Char">
    <w:name w:val="Heading 1 Char"/>
    <w:basedOn w:val="DefaultParagraphFont"/>
    <w:link w:val="Heading1"/>
    <w:uiPriority w:val="9"/>
    <w:rsid w:val="00020AAA"/>
    <w:rPr>
      <w:rFonts w:asciiTheme="majorHAnsi" w:eastAsiaTheme="majorEastAsia" w:hAnsiTheme="majorHAnsi" w:cstheme="majorBidi"/>
      <w:b/>
      <w:bCs/>
      <w:color w:val="365F91" w:themeColor="accent1" w:themeShade="BF"/>
      <w:sz w:val="28"/>
      <w:szCs w:val="28"/>
    </w:rPr>
  </w:style>
  <w:style w:type="paragraph" w:customStyle="1" w:styleId="Pa16">
    <w:name w:val="Pa16"/>
    <w:basedOn w:val="Default"/>
    <w:next w:val="Default"/>
    <w:uiPriority w:val="99"/>
    <w:rsid w:val="001E585F"/>
    <w:pPr>
      <w:spacing w:line="181" w:lineRule="atLeast"/>
    </w:pPr>
    <w:rPr>
      <w:rFonts w:cstheme="minorBidi"/>
      <w:color w:val="auto"/>
    </w:rPr>
  </w:style>
  <w:style w:type="paragraph" w:styleId="NormalWeb">
    <w:name w:val="Normal (Web)"/>
    <w:basedOn w:val="Normal"/>
    <w:uiPriority w:val="99"/>
    <w:semiHidden/>
    <w:unhideWhenUsed/>
    <w:rsid w:val="00ED5845"/>
    <w:pPr>
      <w:spacing w:before="100" w:beforeAutospacing="1" w:after="100" w:afterAutospacing="1" w:line="240" w:lineRule="auto"/>
    </w:pPr>
    <w:rPr>
      <w:rFonts w:ascii="Times New Roman" w:eastAsiaTheme="minorEastAsia" w:hAnsi="Times New Roman" w:cs="Times New Roman"/>
      <w:sz w:val="24"/>
      <w:szCs w:val="24"/>
      <w:lang w:eastAsia="nl-BE"/>
    </w:rPr>
  </w:style>
  <w:style w:type="paragraph" w:styleId="Header">
    <w:name w:val="header"/>
    <w:basedOn w:val="Normal"/>
    <w:link w:val="HeaderChar"/>
    <w:uiPriority w:val="99"/>
    <w:unhideWhenUsed/>
    <w:rsid w:val="00ED5845"/>
    <w:pPr>
      <w:tabs>
        <w:tab w:val="center" w:pos="4536"/>
        <w:tab w:val="right" w:pos="9072"/>
      </w:tabs>
      <w:spacing w:after="0" w:line="240" w:lineRule="auto"/>
    </w:pPr>
  </w:style>
  <w:style w:type="character" w:customStyle="1" w:styleId="HeaderChar">
    <w:name w:val="Header Char"/>
    <w:basedOn w:val="DefaultParagraphFont"/>
    <w:link w:val="Header"/>
    <w:uiPriority w:val="99"/>
    <w:rsid w:val="00ED5845"/>
  </w:style>
  <w:style w:type="paragraph" w:styleId="Footer">
    <w:name w:val="footer"/>
    <w:basedOn w:val="Normal"/>
    <w:link w:val="FooterChar"/>
    <w:uiPriority w:val="99"/>
    <w:unhideWhenUsed/>
    <w:rsid w:val="00ED5845"/>
    <w:pPr>
      <w:tabs>
        <w:tab w:val="center" w:pos="4536"/>
        <w:tab w:val="right" w:pos="9072"/>
      </w:tabs>
      <w:spacing w:after="0" w:line="240" w:lineRule="auto"/>
    </w:pPr>
  </w:style>
  <w:style w:type="character" w:customStyle="1" w:styleId="FooterChar">
    <w:name w:val="Footer Char"/>
    <w:basedOn w:val="DefaultParagraphFont"/>
    <w:link w:val="Footer"/>
    <w:uiPriority w:val="99"/>
    <w:rsid w:val="00ED5845"/>
  </w:style>
  <w:style w:type="paragraph" w:styleId="Subtitle">
    <w:name w:val="Subtitle"/>
    <w:basedOn w:val="Normal"/>
    <w:next w:val="Normal"/>
    <w:link w:val="SubtitleChar"/>
    <w:uiPriority w:val="11"/>
    <w:qFormat/>
    <w:rsid w:val="00763AAE"/>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63AAE"/>
    <w:rPr>
      <w:rFonts w:eastAsiaTheme="minorEastAsia"/>
      <w:color w:val="5A5A5A" w:themeColor="text1" w:themeTint="A5"/>
      <w:spacing w:val="15"/>
    </w:rPr>
  </w:style>
  <w:style w:type="character" w:styleId="SubtleEmphasis">
    <w:name w:val="Subtle Emphasis"/>
    <w:basedOn w:val="DefaultParagraphFont"/>
    <w:uiPriority w:val="19"/>
    <w:qFormat/>
    <w:rsid w:val="00763AAE"/>
    <w:rPr>
      <w:i/>
      <w:iCs/>
      <w:color w:val="404040" w:themeColor="text1" w:themeTint="BF"/>
    </w:rPr>
  </w:style>
  <w:style w:type="paragraph" w:styleId="FootnoteText">
    <w:name w:val="footnote text"/>
    <w:basedOn w:val="Normal"/>
    <w:link w:val="FootnoteTextChar"/>
    <w:uiPriority w:val="99"/>
    <w:semiHidden/>
    <w:unhideWhenUsed/>
    <w:rsid w:val="00325B8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25B85"/>
    <w:rPr>
      <w:sz w:val="20"/>
      <w:szCs w:val="20"/>
    </w:rPr>
  </w:style>
  <w:style w:type="character" w:styleId="FootnoteReference">
    <w:name w:val="footnote reference"/>
    <w:basedOn w:val="DefaultParagraphFont"/>
    <w:uiPriority w:val="99"/>
    <w:semiHidden/>
    <w:unhideWhenUsed/>
    <w:rsid w:val="00325B85"/>
    <w:rPr>
      <w:vertAlign w:val="superscript"/>
    </w:rPr>
  </w:style>
  <w:style w:type="paragraph" w:styleId="NoSpacing">
    <w:name w:val="No Spacing"/>
    <w:link w:val="NoSpacingChar"/>
    <w:uiPriority w:val="1"/>
    <w:qFormat/>
    <w:rsid w:val="00021A9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21A99"/>
    <w:rPr>
      <w:rFonts w:eastAsiaTheme="minorEastAsia"/>
      <w:lang w:val="en-US"/>
    </w:rPr>
  </w:style>
  <w:style w:type="paragraph" w:styleId="TOCHeading">
    <w:name w:val="TOC Heading"/>
    <w:basedOn w:val="Heading1"/>
    <w:next w:val="Normal"/>
    <w:uiPriority w:val="39"/>
    <w:unhideWhenUsed/>
    <w:qFormat/>
    <w:rsid w:val="00EA08D2"/>
    <w:pPr>
      <w:spacing w:before="240" w:line="259" w:lineRule="auto"/>
      <w:outlineLvl w:val="9"/>
    </w:pPr>
    <w:rPr>
      <w:b w:val="0"/>
      <w:bCs w:val="0"/>
      <w:sz w:val="32"/>
      <w:szCs w:val="32"/>
      <w:lang w:val="en-US"/>
    </w:rPr>
  </w:style>
  <w:style w:type="paragraph" w:styleId="TOC1">
    <w:name w:val="toc 1"/>
    <w:basedOn w:val="Normal"/>
    <w:next w:val="Normal"/>
    <w:autoRedefine/>
    <w:uiPriority w:val="39"/>
    <w:unhideWhenUsed/>
    <w:rsid w:val="00EA08D2"/>
    <w:pPr>
      <w:spacing w:after="100"/>
    </w:pPr>
  </w:style>
  <w:style w:type="character" w:styleId="Hyperlink">
    <w:name w:val="Hyperlink"/>
    <w:basedOn w:val="DefaultParagraphFont"/>
    <w:uiPriority w:val="99"/>
    <w:unhideWhenUsed/>
    <w:rsid w:val="00EA08D2"/>
    <w:rPr>
      <w:color w:val="0000FF" w:themeColor="hyperlink"/>
      <w:u w:val="single"/>
    </w:rPr>
  </w:style>
  <w:style w:type="character" w:customStyle="1" w:styleId="Heading2Char">
    <w:name w:val="Heading 2 Char"/>
    <w:basedOn w:val="DefaultParagraphFont"/>
    <w:link w:val="Heading2"/>
    <w:uiPriority w:val="9"/>
    <w:rsid w:val="00DA1FB2"/>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DA1FB2"/>
    <w:pPr>
      <w:ind w:left="720"/>
      <w:contextualSpacing/>
    </w:pPr>
  </w:style>
  <w:style w:type="paragraph" w:styleId="TOC2">
    <w:name w:val="toc 2"/>
    <w:basedOn w:val="Normal"/>
    <w:next w:val="Normal"/>
    <w:autoRedefine/>
    <w:uiPriority w:val="39"/>
    <w:unhideWhenUsed/>
    <w:rsid w:val="007444C8"/>
    <w:pPr>
      <w:spacing w:after="100"/>
      <w:ind w:left="220"/>
    </w:pPr>
  </w:style>
  <w:style w:type="character" w:styleId="CommentReference">
    <w:name w:val="annotation reference"/>
    <w:basedOn w:val="DefaultParagraphFont"/>
    <w:uiPriority w:val="99"/>
    <w:semiHidden/>
    <w:unhideWhenUsed/>
    <w:rsid w:val="0024719E"/>
    <w:rPr>
      <w:sz w:val="16"/>
      <w:szCs w:val="16"/>
    </w:rPr>
  </w:style>
  <w:style w:type="paragraph" w:styleId="CommentText">
    <w:name w:val="annotation text"/>
    <w:basedOn w:val="Normal"/>
    <w:link w:val="CommentTextChar"/>
    <w:uiPriority w:val="99"/>
    <w:semiHidden/>
    <w:unhideWhenUsed/>
    <w:rsid w:val="0024719E"/>
    <w:pPr>
      <w:spacing w:line="240" w:lineRule="auto"/>
    </w:pPr>
    <w:rPr>
      <w:sz w:val="20"/>
      <w:szCs w:val="20"/>
    </w:rPr>
  </w:style>
  <w:style w:type="character" w:customStyle="1" w:styleId="CommentTextChar">
    <w:name w:val="Comment Text Char"/>
    <w:basedOn w:val="DefaultParagraphFont"/>
    <w:link w:val="CommentText"/>
    <w:uiPriority w:val="99"/>
    <w:semiHidden/>
    <w:rsid w:val="0024719E"/>
    <w:rPr>
      <w:sz w:val="20"/>
      <w:szCs w:val="20"/>
    </w:rPr>
  </w:style>
  <w:style w:type="paragraph" w:styleId="CommentSubject">
    <w:name w:val="annotation subject"/>
    <w:basedOn w:val="CommentText"/>
    <w:next w:val="CommentText"/>
    <w:link w:val="CommentSubjectChar"/>
    <w:uiPriority w:val="99"/>
    <w:semiHidden/>
    <w:unhideWhenUsed/>
    <w:rsid w:val="0024719E"/>
    <w:rPr>
      <w:b/>
      <w:bCs/>
    </w:rPr>
  </w:style>
  <w:style w:type="character" w:customStyle="1" w:styleId="CommentSubjectChar">
    <w:name w:val="Comment Subject Char"/>
    <w:basedOn w:val="CommentTextChar"/>
    <w:link w:val="CommentSubject"/>
    <w:uiPriority w:val="99"/>
    <w:semiHidden/>
    <w:rsid w:val="0024719E"/>
    <w:rPr>
      <w:b/>
      <w:bCs/>
      <w:sz w:val="20"/>
      <w:szCs w:val="20"/>
    </w:rPr>
  </w:style>
  <w:style w:type="character" w:styleId="Strong">
    <w:name w:val="Strong"/>
    <w:basedOn w:val="DefaultParagraphFont"/>
    <w:uiPriority w:val="22"/>
    <w:qFormat/>
    <w:rsid w:val="00992C10"/>
    <w:rPr>
      <w:b/>
      <w:bCs/>
    </w:rPr>
  </w:style>
  <w:style w:type="character" w:customStyle="1" w:styleId="apple-converted-space">
    <w:name w:val="apple-converted-space"/>
    <w:basedOn w:val="DefaultParagraphFont"/>
    <w:rsid w:val="00807339"/>
  </w:style>
  <w:style w:type="character" w:styleId="Emphasis">
    <w:name w:val="Emphasis"/>
    <w:basedOn w:val="DefaultParagraphFont"/>
    <w:uiPriority w:val="20"/>
    <w:qFormat/>
    <w:rsid w:val="0080733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603764">
      <w:bodyDiv w:val="1"/>
      <w:marLeft w:val="0"/>
      <w:marRight w:val="0"/>
      <w:marTop w:val="0"/>
      <w:marBottom w:val="0"/>
      <w:divBdr>
        <w:top w:val="none" w:sz="0" w:space="0" w:color="auto"/>
        <w:left w:val="none" w:sz="0" w:space="0" w:color="auto"/>
        <w:bottom w:val="none" w:sz="0" w:space="0" w:color="auto"/>
        <w:right w:val="none" w:sz="0" w:space="0" w:color="auto"/>
      </w:divBdr>
    </w:div>
    <w:div w:id="375663532">
      <w:bodyDiv w:val="1"/>
      <w:marLeft w:val="0"/>
      <w:marRight w:val="0"/>
      <w:marTop w:val="0"/>
      <w:marBottom w:val="0"/>
      <w:divBdr>
        <w:top w:val="none" w:sz="0" w:space="0" w:color="auto"/>
        <w:left w:val="none" w:sz="0" w:space="0" w:color="auto"/>
        <w:bottom w:val="none" w:sz="0" w:space="0" w:color="auto"/>
        <w:right w:val="none" w:sz="0" w:space="0" w:color="auto"/>
      </w:divBdr>
    </w:div>
    <w:div w:id="406270528">
      <w:bodyDiv w:val="1"/>
      <w:marLeft w:val="0"/>
      <w:marRight w:val="0"/>
      <w:marTop w:val="0"/>
      <w:marBottom w:val="0"/>
      <w:divBdr>
        <w:top w:val="none" w:sz="0" w:space="0" w:color="auto"/>
        <w:left w:val="none" w:sz="0" w:space="0" w:color="auto"/>
        <w:bottom w:val="none" w:sz="0" w:space="0" w:color="auto"/>
        <w:right w:val="none" w:sz="0" w:space="0" w:color="auto"/>
      </w:divBdr>
    </w:div>
    <w:div w:id="465004679">
      <w:bodyDiv w:val="1"/>
      <w:marLeft w:val="0"/>
      <w:marRight w:val="0"/>
      <w:marTop w:val="0"/>
      <w:marBottom w:val="0"/>
      <w:divBdr>
        <w:top w:val="none" w:sz="0" w:space="0" w:color="auto"/>
        <w:left w:val="none" w:sz="0" w:space="0" w:color="auto"/>
        <w:bottom w:val="none" w:sz="0" w:space="0" w:color="auto"/>
        <w:right w:val="none" w:sz="0" w:space="0" w:color="auto"/>
      </w:divBdr>
    </w:div>
    <w:div w:id="659191273">
      <w:bodyDiv w:val="1"/>
      <w:marLeft w:val="0"/>
      <w:marRight w:val="0"/>
      <w:marTop w:val="0"/>
      <w:marBottom w:val="0"/>
      <w:divBdr>
        <w:top w:val="none" w:sz="0" w:space="0" w:color="auto"/>
        <w:left w:val="none" w:sz="0" w:space="0" w:color="auto"/>
        <w:bottom w:val="none" w:sz="0" w:space="0" w:color="auto"/>
        <w:right w:val="none" w:sz="0" w:space="0" w:color="auto"/>
      </w:divBdr>
    </w:div>
    <w:div w:id="689645342">
      <w:bodyDiv w:val="1"/>
      <w:marLeft w:val="0"/>
      <w:marRight w:val="0"/>
      <w:marTop w:val="0"/>
      <w:marBottom w:val="0"/>
      <w:divBdr>
        <w:top w:val="none" w:sz="0" w:space="0" w:color="auto"/>
        <w:left w:val="none" w:sz="0" w:space="0" w:color="auto"/>
        <w:bottom w:val="none" w:sz="0" w:space="0" w:color="auto"/>
        <w:right w:val="none" w:sz="0" w:space="0" w:color="auto"/>
      </w:divBdr>
    </w:div>
    <w:div w:id="834148575">
      <w:bodyDiv w:val="1"/>
      <w:marLeft w:val="0"/>
      <w:marRight w:val="0"/>
      <w:marTop w:val="0"/>
      <w:marBottom w:val="0"/>
      <w:divBdr>
        <w:top w:val="none" w:sz="0" w:space="0" w:color="auto"/>
        <w:left w:val="none" w:sz="0" w:space="0" w:color="auto"/>
        <w:bottom w:val="none" w:sz="0" w:space="0" w:color="auto"/>
        <w:right w:val="none" w:sz="0" w:space="0" w:color="auto"/>
      </w:divBdr>
    </w:div>
    <w:div w:id="957681034">
      <w:bodyDiv w:val="1"/>
      <w:marLeft w:val="0"/>
      <w:marRight w:val="0"/>
      <w:marTop w:val="0"/>
      <w:marBottom w:val="0"/>
      <w:divBdr>
        <w:top w:val="none" w:sz="0" w:space="0" w:color="auto"/>
        <w:left w:val="none" w:sz="0" w:space="0" w:color="auto"/>
        <w:bottom w:val="none" w:sz="0" w:space="0" w:color="auto"/>
        <w:right w:val="none" w:sz="0" w:space="0" w:color="auto"/>
      </w:divBdr>
    </w:div>
    <w:div w:id="1164854358">
      <w:bodyDiv w:val="1"/>
      <w:marLeft w:val="0"/>
      <w:marRight w:val="0"/>
      <w:marTop w:val="0"/>
      <w:marBottom w:val="0"/>
      <w:divBdr>
        <w:top w:val="none" w:sz="0" w:space="0" w:color="auto"/>
        <w:left w:val="none" w:sz="0" w:space="0" w:color="auto"/>
        <w:bottom w:val="none" w:sz="0" w:space="0" w:color="auto"/>
        <w:right w:val="none" w:sz="0" w:space="0" w:color="auto"/>
      </w:divBdr>
    </w:div>
    <w:div w:id="1292901742">
      <w:bodyDiv w:val="1"/>
      <w:marLeft w:val="0"/>
      <w:marRight w:val="0"/>
      <w:marTop w:val="0"/>
      <w:marBottom w:val="0"/>
      <w:divBdr>
        <w:top w:val="none" w:sz="0" w:space="0" w:color="auto"/>
        <w:left w:val="none" w:sz="0" w:space="0" w:color="auto"/>
        <w:bottom w:val="none" w:sz="0" w:space="0" w:color="auto"/>
        <w:right w:val="none" w:sz="0" w:space="0" w:color="auto"/>
      </w:divBdr>
    </w:div>
    <w:div w:id="1616521543">
      <w:bodyDiv w:val="1"/>
      <w:marLeft w:val="0"/>
      <w:marRight w:val="0"/>
      <w:marTop w:val="0"/>
      <w:marBottom w:val="0"/>
      <w:divBdr>
        <w:top w:val="none" w:sz="0" w:space="0" w:color="auto"/>
        <w:left w:val="none" w:sz="0" w:space="0" w:color="auto"/>
        <w:bottom w:val="none" w:sz="0" w:space="0" w:color="auto"/>
        <w:right w:val="none" w:sz="0" w:space="0" w:color="auto"/>
      </w:divBdr>
    </w:div>
    <w:div w:id="1714844078">
      <w:bodyDiv w:val="1"/>
      <w:marLeft w:val="0"/>
      <w:marRight w:val="0"/>
      <w:marTop w:val="0"/>
      <w:marBottom w:val="0"/>
      <w:divBdr>
        <w:top w:val="none" w:sz="0" w:space="0" w:color="auto"/>
        <w:left w:val="none" w:sz="0" w:space="0" w:color="auto"/>
        <w:bottom w:val="none" w:sz="0" w:space="0" w:color="auto"/>
        <w:right w:val="none" w:sz="0" w:space="0" w:color="auto"/>
      </w:divBdr>
    </w:div>
    <w:div w:id="1995186034">
      <w:bodyDiv w:val="1"/>
      <w:marLeft w:val="0"/>
      <w:marRight w:val="0"/>
      <w:marTop w:val="0"/>
      <w:marBottom w:val="0"/>
      <w:divBdr>
        <w:top w:val="none" w:sz="0" w:space="0" w:color="auto"/>
        <w:left w:val="none" w:sz="0" w:space="0" w:color="auto"/>
        <w:bottom w:val="none" w:sz="0" w:space="0" w:color="auto"/>
        <w:right w:val="none" w:sz="0" w:space="0" w:color="auto"/>
      </w:divBdr>
    </w:div>
    <w:div w:id="2076706025">
      <w:bodyDiv w:val="1"/>
      <w:marLeft w:val="0"/>
      <w:marRight w:val="0"/>
      <w:marTop w:val="0"/>
      <w:marBottom w:val="0"/>
      <w:divBdr>
        <w:top w:val="none" w:sz="0" w:space="0" w:color="auto"/>
        <w:left w:val="none" w:sz="0" w:space="0" w:color="auto"/>
        <w:bottom w:val="none" w:sz="0" w:space="0" w:color="auto"/>
        <w:right w:val="none" w:sz="0" w:space="0" w:color="auto"/>
      </w:divBdr>
    </w:div>
    <w:div w:id="2116552232">
      <w:bodyDiv w:val="1"/>
      <w:marLeft w:val="0"/>
      <w:marRight w:val="0"/>
      <w:marTop w:val="0"/>
      <w:marBottom w:val="0"/>
      <w:divBdr>
        <w:top w:val="none" w:sz="0" w:space="0" w:color="auto"/>
        <w:left w:val="none" w:sz="0" w:space="0" w:color="auto"/>
        <w:bottom w:val="none" w:sz="0" w:space="0" w:color="auto"/>
        <w:right w:val="none" w:sz="0" w:space="0" w:color="auto"/>
      </w:divBdr>
      <w:divsChild>
        <w:div w:id="2028750161">
          <w:marLeft w:val="0"/>
          <w:marRight w:val="0"/>
          <w:marTop w:val="0"/>
          <w:marBottom w:val="0"/>
          <w:divBdr>
            <w:top w:val="none" w:sz="0" w:space="0" w:color="auto"/>
            <w:left w:val="none" w:sz="0" w:space="0" w:color="auto"/>
            <w:bottom w:val="none" w:sz="0" w:space="0" w:color="auto"/>
            <w:right w:val="none" w:sz="0" w:space="0" w:color="auto"/>
          </w:divBdr>
        </w:div>
        <w:div w:id="12052891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4.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7.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header" Target="header2.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pw\Desktop\Economisch%20JV%20Wal\Figuren%20Fevia%20REGIO%202014%20v190615%20eigen%20berekeningen.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pw\Desktop\Economisch%20JV%20Wal\Figuren%20Fevia%20REGIO%202014%20v190615%20eigen%20berekeningen.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pw\Desktop\Economisch%20JV%20Wal\Figuren%20Fevia%20REGIO%202014%20v190615%20eigen%20berekeningen.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pw\Desktop\Economisch%20JV%20Wal\Figuren%20Fevia%20REGIO%202014%20v190615%20eigen%20berekeningen.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pw\Desktop\Economisch%20JV%20Wal\Figuren%20Fevia%20REGIO%202014%20v190615%20eigen%20berekeningen.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pw\Desktop\Economisch%20JV%20Wal\Figuren%20Fevia%20REGIO%202014%20v190615%20eigen%20berekeningen.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pw\Desktop\Economisch%20JV%20Wal\Figuren%20Fevia%20REGIO%202014%20v190615%20eigen%20berekeningen.xlsx" TargetMode="Externa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chartUserShapes" Target="../drawings/drawing1.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pw\Desktop\Economisch%20JV%20Wal\Figuren%20Fevia%20REGIO%202014%20v190615%20eigen%20berekeningen.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pw\Desktop\Economisch%20JV%20Wal\Figuren%20Fevia%20REGIO%202014%20v190615%20eigen%20berekeningen.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pw\Desktop\Economisch%20JV%20Wal\Figuren%20Fevia%20REGIO%202014%20v190615%20eigen%20berekeningen.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w\Desktop\Economisch%20JV%20Wal\Figuren%20Fevia%20REGIO%202014%20v190615%20eigen%20berekeninge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w\Desktop\Economisch%20JV%20Wal\Figuren%20Fevia%20REGIO%202014%20v190615%20eigen%20berekeninge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pw\Desktop\Economisch%20JV%20Wal\Figuren%20Fevia%20REGIO%202014%20v190615%20eigen%20berekeningen.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pw\Desktop\Economisch%20JV%20Wal\Figuren%20Fevia%20REGIO%202014%20v190615%20eigen%20berekeningen.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pw\Desktop\Economisch%20JV%20Wal\Figuren%20Fevia%20REGIO%202014%20v190615%20eigen%20berekeningen.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pw\Desktop\Economisch%20JV%20Wal\Figuren%20Fevia%20REGIO%202014%20v190615%20eigen%20berekeningen.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pw\Desktop\Economisch%20JV%20Wal\Figuren%20Fevia%20REGIO%202014%20v190615%20eigen%20berekeningen.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nl-BE" sz="1000" b="1" i="0" u="none" strike="noStrike" baseline="0">
                <a:effectLst/>
              </a:rPr>
              <a:t>Figure 1 : Croissance annuelle du chiffre d'affaires en Wallonie (index 2008=100)</a:t>
            </a:r>
            <a:endParaRPr lang="en-US"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lineChart>
        <c:grouping val="standard"/>
        <c:varyColors val="0"/>
        <c:ser>
          <c:idx val="0"/>
          <c:order val="0"/>
          <c:tx>
            <c:strRef>
              <c:f>'Eigen berekeningen'!$B$18</c:f>
              <c:strCache>
                <c:ptCount val="1"/>
                <c:pt idx="0">
                  <c:v>Industrie alimentaire</c:v>
                </c:pt>
              </c:strCache>
            </c:strRef>
          </c:tx>
          <c:spPr>
            <a:ln w="28575" cap="rnd">
              <a:solidFill>
                <a:schemeClr val="accent1"/>
              </a:solidFill>
              <a:round/>
            </a:ln>
            <a:effectLst/>
          </c:spPr>
          <c:marker>
            <c:symbol val="none"/>
          </c:marker>
          <c:dPt>
            <c:idx val="6"/>
            <c:marker>
              <c:symbol val="none"/>
            </c:marker>
            <c:bubble3D val="0"/>
            <c:spPr>
              <a:ln w="28575" cap="rnd">
                <a:solidFill>
                  <a:schemeClr val="accent1"/>
                </a:solidFill>
                <a:prstDash val="sysDash"/>
                <a:round/>
              </a:ln>
              <a:effectLst/>
            </c:spPr>
          </c:dPt>
          <c:cat>
            <c:strRef>
              <c:f>'Eigen berekeningen'!$C$17:$I$17</c:f>
              <c:strCache>
                <c:ptCount val="7"/>
                <c:pt idx="0">
                  <c:v>2008</c:v>
                </c:pt>
                <c:pt idx="1">
                  <c:v>2009</c:v>
                </c:pt>
                <c:pt idx="2">
                  <c:v>2010</c:v>
                </c:pt>
                <c:pt idx="3">
                  <c:v>2011</c:v>
                </c:pt>
                <c:pt idx="4">
                  <c:v>2012</c:v>
                </c:pt>
                <c:pt idx="5">
                  <c:v>2013</c:v>
                </c:pt>
                <c:pt idx="6">
                  <c:v>2014</c:v>
                </c:pt>
              </c:strCache>
            </c:strRef>
          </c:cat>
          <c:val>
            <c:numRef>
              <c:f>'Eigen berekeningen'!$C$18:$I$18</c:f>
              <c:numCache>
                <c:formatCode>#,##0.00</c:formatCode>
                <c:ptCount val="7"/>
                <c:pt idx="0">
                  <c:v>100</c:v>
                </c:pt>
                <c:pt idx="1">
                  <c:v>95.871997656177939</c:v>
                </c:pt>
                <c:pt idx="2">
                  <c:v>99.509518461517132</c:v>
                </c:pt>
                <c:pt idx="3">
                  <c:v>107.70423493520629</c:v>
                </c:pt>
                <c:pt idx="4">
                  <c:v>113.15689159843079</c:v>
                </c:pt>
                <c:pt idx="5">
                  <c:v>111.4724151796237</c:v>
                </c:pt>
                <c:pt idx="6">
                  <c:v>123.32780155923557</c:v>
                </c:pt>
              </c:numCache>
            </c:numRef>
          </c:val>
          <c:smooth val="0"/>
        </c:ser>
        <c:ser>
          <c:idx val="1"/>
          <c:order val="1"/>
          <c:tx>
            <c:strRef>
              <c:f>'Eigen berekeningen'!$B$19</c:f>
              <c:strCache>
                <c:ptCount val="1"/>
                <c:pt idx="0">
                  <c:v>Industrie manufacturière</c:v>
                </c:pt>
              </c:strCache>
            </c:strRef>
          </c:tx>
          <c:spPr>
            <a:ln w="28575" cap="rnd">
              <a:solidFill>
                <a:schemeClr val="accent2"/>
              </a:solidFill>
              <a:round/>
            </a:ln>
            <a:effectLst/>
          </c:spPr>
          <c:marker>
            <c:symbol val="none"/>
          </c:marker>
          <c:dPt>
            <c:idx val="6"/>
            <c:marker>
              <c:symbol val="none"/>
            </c:marker>
            <c:bubble3D val="0"/>
            <c:spPr>
              <a:ln w="28575" cap="rnd">
                <a:solidFill>
                  <a:schemeClr val="accent2"/>
                </a:solidFill>
                <a:prstDash val="sysDash"/>
                <a:round/>
              </a:ln>
              <a:effectLst/>
            </c:spPr>
          </c:dPt>
          <c:cat>
            <c:strRef>
              <c:f>'Eigen berekeningen'!$C$17:$I$17</c:f>
              <c:strCache>
                <c:ptCount val="7"/>
                <c:pt idx="0">
                  <c:v>2008</c:v>
                </c:pt>
                <c:pt idx="1">
                  <c:v>2009</c:v>
                </c:pt>
                <c:pt idx="2">
                  <c:v>2010</c:v>
                </c:pt>
                <c:pt idx="3">
                  <c:v>2011</c:v>
                </c:pt>
                <c:pt idx="4">
                  <c:v>2012</c:v>
                </c:pt>
                <c:pt idx="5">
                  <c:v>2013</c:v>
                </c:pt>
                <c:pt idx="6">
                  <c:v>2014</c:v>
                </c:pt>
              </c:strCache>
            </c:strRef>
          </c:cat>
          <c:val>
            <c:numRef>
              <c:f>'Eigen berekeningen'!$C$19:$I$19</c:f>
              <c:numCache>
                <c:formatCode>#,##0.00</c:formatCode>
                <c:ptCount val="7"/>
                <c:pt idx="0">
                  <c:v>100</c:v>
                </c:pt>
                <c:pt idx="1">
                  <c:v>82.223073659729351</c:v>
                </c:pt>
                <c:pt idx="2">
                  <c:v>90.053767766111974</c:v>
                </c:pt>
                <c:pt idx="3">
                  <c:v>94.074621840159708</c:v>
                </c:pt>
                <c:pt idx="4">
                  <c:v>91.436906304508867</c:v>
                </c:pt>
                <c:pt idx="5">
                  <c:v>87.111318520595205</c:v>
                </c:pt>
                <c:pt idx="6">
                  <c:v>92.404229496745543</c:v>
                </c:pt>
              </c:numCache>
            </c:numRef>
          </c:val>
          <c:smooth val="0"/>
        </c:ser>
        <c:dLbls>
          <c:showLegendKey val="0"/>
          <c:showVal val="0"/>
          <c:showCatName val="0"/>
          <c:showSerName val="0"/>
          <c:showPercent val="0"/>
          <c:showBubbleSize val="0"/>
        </c:dLbls>
        <c:smooth val="0"/>
        <c:axId val="201819672"/>
        <c:axId val="201819280"/>
      </c:lineChart>
      <c:catAx>
        <c:axId val="201819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201819280"/>
        <c:crosses val="autoZero"/>
        <c:auto val="1"/>
        <c:lblAlgn val="ctr"/>
        <c:lblOffset val="100"/>
        <c:noMultiLvlLbl val="0"/>
      </c:catAx>
      <c:valAx>
        <c:axId val="201819280"/>
        <c:scaling>
          <c:orientation val="minMax"/>
          <c:min val="8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201819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nl-BE" sz="1000" b="1" i="0" baseline="0">
                <a:effectLst/>
              </a:rPr>
              <a:t>Figure 10 : Evolution investissements dans l'industrie alimentaire wallonne </a:t>
            </a:r>
            <a:endParaRPr lang="en-US" sz="1000">
              <a:effectLst/>
            </a:endParaRPr>
          </a:p>
          <a:p>
            <a:pPr>
              <a:defRPr sz="1000"/>
            </a:pPr>
            <a:r>
              <a:rPr lang="nl-BE" sz="1000" b="1" i="0" baseline="0">
                <a:effectLst/>
              </a:rPr>
              <a:t>(Estimations ; 2008-2013)</a:t>
            </a:r>
            <a:endParaRPr lang="en-US" sz="1000">
              <a:effectLst/>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barChart>
        <c:barDir val="col"/>
        <c:grouping val="clustered"/>
        <c:varyColors val="0"/>
        <c:ser>
          <c:idx val="0"/>
          <c:order val="0"/>
          <c:tx>
            <c:strRef>
              <c:f>'Eigen berekeningen'!$B$154</c:f>
              <c:strCache>
                <c:ptCount val="1"/>
                <c:pt idx="0">
                  <c:v>Industrie alimentaire</c:v>
                </c:pt>
              </c:strCache>
            </c:strRef>
          </c:tx>
          <c:spPr>
            <a:pattFill prst="wdUpDiag">
              <a:fgClr>
                <a:schemeClr val="accent1"/>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'Eigen berekeningen'!$C$153:$I$153</c:f>
              <c:numCache>
                <c:formatCode>General</c:formatCode>
                <c:ptCount val="7"/>
                <c:pt idx="0">
                  <c:v>2008</c:v>
                </c:pt>
                <c:pt idx="1">
                  <c:v>2009</c:v>
                </c:pt>
                <c:pt idx="2">
                  <c:v>2010</c:v>
                </c:pt>
                <c:pt idx="3">
                  <c:v>2011</c:v>
                </c:pt>
                <c:pt idx="4">
                  <c:v>2012</c:v>
                </c:pt>
                <c:pt idx="5">
                  <c:v>2013</c:v>
                </c:pt>
                <c:pt idx="6">
                  <c:v>2014</c:v>
                </c:pt>
              </c:numCache>
            </c:numRef>
          </c:cat>
          <c:val>
            <c:numRef>
              <c:f>'Eigen berekeningen'!$C$154:$I$154</c:f>
              <c:numCache>
                <c:formatCode>"€"\ #,##0.0</c:formatCode>
                <c:ptCount val="7"/>
                <c:pt idx="0">
                  <c:v>237.97625061251611</c:v>
                </c:pt>
                <c:pt idx="1">
                  <c:v>227.44837594790286</c:v>
                </c:pt>
                <c:pt idx="2">
                  <c:v>206.31677024615001</c:v>
                </c:pt>
                <c:pt idx="3">
                  <c:v>230.54281081081081</c:v>
                </c:pt>
                <c:pt idx="4">
                  <c:v>234.97099799719606</c:v>
                </c:pt>
                <c:pt idx="5">
                  <c:v>233.31926666395708</c:v>
                </c:pt>
                <c:pt idx="6">
                  <c:v>286.90995139811969</c:v>
                </c:pt>
              </c:numCache>
            </c:numRef>
          </c:val>
        </c:ser>
        <c:dLbls>
          <c:dLblPos val="outEnd"/>
          <c:showLegendKey val="0"/>
          <c:showVal val="1"/>
          <c:showCatName val="0"/>
          <c:showSerName val="0"/>
          <c:showPercent val="0"/>
          <c:showBubbleSize val="0"/>
        </c:dLbls>
        <c:gapWidth val="219"/>
        <c:overlap val="-27"/>
        <c:axId val="706206808"/>
        <c:axId val="706207200"/>
      </c:barChart>
      <c:catAx>
        <c:axId val="706206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706207200"/>
        <c:crosses val="autoZero"/>
        <c:auto val="1"/>
        <c:lblAlgn val="ctr"/>
        <c:lblOffset val="100"/>
        <c:noMultiLvlLbl val="0"/>
      </c:catAx>
      <c:valAx>
        <c:axId val="7062072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BE" sz="1000" b="0" i="0" baseline="0">
                    <a:effectLst/>
                  </a:rPr>
                  <a:t>Investissements (mln. euro)</a:t>
                </a:r>
                <a:endParaRPr lang="en-US" sz="1000">
                  <a:effectLst/>
                </a:endParaRPr>
              </a:p>
            </c:rich>
          </c:tx>
          <c:layout>
            <c:manualLayout>
              <c:xMode val="edge"/>
              <c:yMode val="edge"/>
              <c:x val="1.1726765261369284E-2"/>
              <c:y val="0.3176375276345149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quot;€&quot;\ #,##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706206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en-US" sz="1000" b="1"/>
              <a:t>Figure 11 : Evolution marge opérationnelle nette en % (2005-2013)</a:t>
            </a: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lineChart>
        <c:grouping val="standard"/>
        <c:varyColors val="0"/>
        <c:ser>
          <c:idx val="0"/>
          <c:order val="0"/>
          <c:tx>
            <c:strRef>
              <c:f>'Eigen berekeningen'!$B$161</c:f>
              <c:strCache>
                <c:ptCount val="1"/>
                <c:pt idx="0">
                  <c:v>Ratio Netto exploitatieoverschot en gemengd inkomen/output</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'Eigen berekeningen'!$C$160:$K$160</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'Eigen berekeningen'!$C$161:$K$161</c:f>
              <c:numCache>
                <c:formatCode>0.0%</c:formatCode>
                <c:ptCount val="9"/>
                <c:pt idx="0">
                  <c:v>5.3438061384397807E-2</c:v>
                </c:pt>
                <c:pt idx="1">
                  <c:v>4.401758783766322E-2</c:v>
                </c:pt>
                <c:pt idx="2">
                  <c:v>4.0239849975927465E-2</c:v>
                </c:pt>
                <c:pt idx="3">
                  <c:v>3.4351156738264783E-2</c:v>
                </c:pt>
                <c:pt idx="4">
                  <c:v>4.4696264164859272E-2</c:v>
                </c:pt>
                <c:pt idx="5">
                  <c:v>3.9075132733222134E-2</c:v>
                </c:pt>
                <c:pt idx="6">
                  <c:v>3.1043779172702395E-2</c:v>
                </c:pt>
                <c:pt idx="7">
                  <c:v>3.436532249313444E-2</c:v>
                </c:pt>
                <c:pt idx="8">
                  <c:v>3.5956612299750661E-2</c:v>
                </c:pt>
              </c:numCache>
            </c:numRef>
          </c:val>
          <c:smooth val="0"/>
        </c:ser>
        <c:dLbls>
          <c:dLblPos val="t"/>
          <c:showLegendKey val="0"/>
          <c:showVal val="1"/>
          <c:showCatName val="0"/>
          <c:showSerName val="0"/>
          <c:showPercent val="0"/>
          <c:showBubbleSize val="0"/>
        </c:dLbls>
        <c:marker val="1"/>
        <c:smooth val="0"/>
        <c:axId val="706207984"/>
        <c:axId val="706208376"/>
      </c:lineChart>
      <c:catAx>
        <c:axId val="706207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706208376"/>
        <c:crosses val="autoZero"/>
        <c:auto val="1"/>
        <c:lblAlgn val="ctr"/>
        <c:lblOffset val="100"/>
        <c:noMultiLvlLbl val="0"/>
      </c:catAx>
      <c:valAx>
        <c:axId val="706208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706207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nl-BE" sz="1000" b="1" i="0" baseline="0">
                <a:effectLst/>
              </a:rPr>
              <a:t>Figure 12 :  précompte professionnel, cotisations patronales ONSS et </a:t>
            </a:r>
            <a:endParaRPr lang="en-US" sz="1000">
              <a:effectLst/>
            </a:endParaRPr>
          </a:p>
          <a:p>
            <a:pPr>
              <a:defRPr sz="1000"/>
            </a:pPr>
            <a:r>
              <a:rPr lang="nl-BE" sz="1000" b="1" i="0" baseline="0">
                <a:effectLst/>
              </a:rPr>
              <a:t>impôts sur le résultat (Wallonie; 2005-2013)</a:t>
            </a:r>
            <a:endParaRPr lang="en-US" sz="1000">
              <a:effectLst/>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lineChart>
        <c:grouping val="standard"/>
        <c:varyColors val="0"/>
        <c:ser>
          <c:idx val="0"/>
          <c:order val="0"/>
          <c:tx>
            <c:strRef>
              <c:f>'Eigen berekeningen'!$C$177</c:f>
              <c:strCache>
                <c:ptCount val="1"/>
                <c:pt idx="0">
                  <c:v>Précompte professionnel</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'Eigen berekeningen'!$B$178:$B$185</c:f>
              <c:numCache>
                <c:formatCode>General</c:formatCode>
                <c:ptCount val="8"/>
                <c:pt idx="0">
                  <c:v>2006</c:v>
                </c:pt>
                <c:pt idx="1">
                  <c:v>2007</c:v>
                </c:pt>
                <c:pt idx="2">
                  <c:v>2008</c:v>
                </c:pt>
                <c:pt idx="3">
                  <c:v>2009</c:v>
                </c:pt>
                <c:pt idx="4">
                  <c:v>2010</c:v>
                </c:pt>
                <c:pt idx="5">
                  <c:v>2011</c:v>
                </c:pt>
                <c:pt idx="6">
                  <c:v>2012</c:v>
                </c:pt>
                <c:pt idx="7">
                  <c:v>2013</c:v>
                </c:pt>
              </c:numCache>
            </c:numRef>
          </c:cat>
          <c:val>
            <c:numRef>
              <c:f>'Eigen berekeningen'!$C$178:$C$185</c:f>
              <c:numCache>
                <c:formatCode>"€"\ #,##0.0</c:formatCode>
                <c:ptCount val="8"/>
                <c:pt idx="0">
                  <c:v>67.817695000000015</c:v>
                </c:pt>
                <c:pt idx="1">
                  <c:v>71.802279000000013</c:v>
                </c:pt>
                <c:pt idx="2">
                  <c:v>75.933896000000104</c:v>
                </c:pt>
                <c:pt idx="3">
                  <c:v>73.409610999999998</c:v>
                </c:pt>
                <c:pt idx="4">
                  <c:v>78.309258000000014</c:v>
                </c:pt>
                <c:pt idx="5">
                  <c:v>86.71210200000003</c:v>
                </c:pt>
                <c:pt idx="6">
                  <c:v>89.251330999999993</c:v>
                </c:pt>
                <c:pt idx="7">
                  <c:v>91.670120000000011</c:v>
                </c:pt>
              </c:numCache>
            </c:numRef>
          </c:val>
          <c:smooth val="0"/>
        </c:ser>
        <c:ser>
          <c:idx val="1"/>
          <c:order val="1"/>
          <c:tx>
            <c:strRef>
              <c:f>'Eigen berekeningen'!$D$177</c:f>
              <c:strCache>
                <c:ptCount val="1"/>
                <c:pt idx="0">
                  <c:v>Impôts sur le résultat</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'Eigen berekeningen'!$B$178:$B$185</c:f>
              <c:numCache>
                <c:formatCode>General</c:formatCode>
                <c:ptCount val="8"/>
                <c:pt idx="0">
                  <c:v>2006</c:v>
                </c:pt>
                <c:pt idx="1">
                  <c:v>2007</c:v>
                </c:pt>
                <c:pt idx="2">
                  <c:v>2008</c:v>
                </c:pt>
                <c:pt idx="3">
                  <c:v>2009</c:v>
                </c:pt>
                <c:pt idx="4">
                  <c:v>2010</c:v>
                </c:pt>
                <c:pt idx="5">
                  <c:v>2011</c:v>
                </c:pt>
                <c:pt idx="6">
                  <c:v>2012</c:v>
                </c:pt>
                <c:pt idx="7">
                  <c:v>2013</c:v>
                </c:pt>
              </c:numCache>
            </c:numRef>
          </c:cat>
          <c:val>
            <c:numRef>
              <c:f>'Eigen berekeningen'!$D$178:$D$185</c:f>
              <c:numCache>
                <c:formatCode>"€"\ #,##0.0</c:formatCode>
                <c:ptCount val="8"/>
                <c:pt idx="0">
                  <c:v>48.574056000000006</c:v>
                </c:pt>
                <c:pt idx="1">
                  <c:v>58.143347999999989</c:v>
                </c:pt>
                <c:pt idx="2">
                  <c:v>48.807963999999991</c:v>
                </c:pt>
                <c:pt idx="3">
                  <c:v>48.177497000000002</c:v>
                </c:pt>
                <c:pt idx="4">
                  <c:v>48.896618000000004</c:v>
                </c:pt>
                <c:pt idx="5">
                  <c:v>50.327789999999993</c:v>
                </c:pt>
                <c:pt idx="6">
                  <c:v>64.889383999999978</c:v>
                </c:pt>
                <c:pt idx="7">
                  <c:v>64.073663999999965</c:v>
                </c:pt>
              </c:numCache>
            </c:numRef>
          </c:val>
          <c:smooth val="0"/>
        </c:ser>
        <c:ser>
          <c:idx val="2"/>
          <c:order val="2"/>
          <c:tx>
            <c:strRef>
              <c:f>'Eigen berekeningen'!$E$177</c:f>
              <c:strCache>
                <c:ptCount val="1"/>
                <c:pt idx="0">
                  <c:v>Cotisations patronales ONSS</c:v>
                </c:pt>
              </c:strCache>
            </c:strRef>
          </c:tx>
          <c:spPr>
            <a:ln w="28575" cap="rnd">
              <a:solidFill>
                <a:schemeClr val="accent3"/>
              </a:solidFill>
              <a:round/>
            </a:ln>
            <a:effectLst/>
          </c:spPr>
          <c:marker>
            <c:symbol val="squar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'Eigen berekeningen'!$B$178:$B$185</c:f>
              <c:numCache>
                <c:formatCode>General</c:formatCode>
                <c:ptCount val="8"/>
                <c:pt idx="0">
                  <c:v>2006</c:v>
                </c:pt>
                <c:pt idx="1">
                  <c:v>2007</c:v>
                </c:pt>
                <c:pt idx="2">
                  <c:v>2008</c:v>
                </c:pt>
                <c:pt idx="3">
                  <c:v>2009</c:v>
                </c:pt>
                <c:pt idx="4">
                  <c:v>2010</c:v>
                </c:pt>
                <c:pt idx="5">
                  <c:v>2011</c:v>
                </c:pt>
                <c:pt idx="6">
                  <c:v>2012</c:v>
                </c:pt>
                <c:pt idx="7">
                  <c:v>2013</c:v>
                </c:pt>
              </c:numCache>
            </c:numRef>
          </c:cat>
          <c:val>
            <c:numRef>
              <c:f>'Eigen berekeningen'!$E$178:$E$185</c:f>
              <c:numCache>
                <c:formatCode>"€"\ #,##0.0</c:formatCode>
                <c:ptCount val="8"/>
                <c:pt idx="0">
                  <c:v>142.59949399999991</c:v>
                </c:pt>
                <c:pt idx="1">
                  <c:v>152.31108000000015</c:v>
                </c:pt>
                <c:pt idx="2">
                  <c:v>167.05035500000011</c:v>
                </c:pt>
                <c:pt idx="3">
                  <c:v>167.91908999999973</c:v>
                </c:pt>
                <c:pt idx="4">
                  <c:v>184.93439700000016</c:v>
                </c:pt>
                <c:pt idx="5">
                  <c:v>197.02779500000057</c:v>
                </c:pt>
                <c:pt idx="6">
                  <c:v>205.44085700000008</c:v>
                </c:pt>
                <c:pt idx="7">
                  <c:v>208.79770500000024</c:v>
                </c:pt>
              </c:numCache>
            </c:numRef>
          </c:val>
          <c:smooth val="0"/>
        </c:ser>
        <c:dLbls>
          <c:dLblPos val="t"/>
          <c:showLegendKey val="0"/>
          <c:showVal val="1"/>
          <c:showCatName val="0"/>
          <c:showSerName val="0"/>
          <c:showPercent val="0"/>
          <c:showBubbleSize val="0"/>
        </c:dLbls>
        <c:marker val="1"/>
        <c:smooth val="0"/>
        <c:axId val="706209160"/>
        <c:axId val="706209552"/>
      </c:lineChart>
      <c:catAx>
        <c:axId val="706209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706209552"/>
        <c:crosses val="autoZero"/>
        <c:auto val="1"/>
        <c:lblAlgn val="ctr"/>
        <c:lblOffset val="100"/>
        <c:noMultiLvlLbl val="0"/>
      </c:catAx>
      <c:valAx>
        <c:axId val="706209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BE" sz="1000" b="0" i="0" baseline="0">
                    <a:effectLst/>
                  </a:rPr>
                  <a:t>Millions d'euros</a:t>
                </a:r>
                <a:endParaRPr lang="en-US" sz="1000">
                  <a:effectLst/>
                </a:endParaRPr>
              </a:p>
            </c:rich>
          </c:tx>
          <c:layout>
            <c:manualLayout>
              <c:xMode val="edge"/>
              <c:yMode val="edge"/>
              <c:x val="1.0598832359186584E-2"/>
              <c:y val="0.3610006105852706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quot;€&quot;\ #,##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706209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en-US" sz="1000" b="1"/>
              <a:t>Figure 13 : Evolution du handicap salarial horaire de l'industrie alimentaire belge par rapport aux pays-voisins</a:t>
            </a:r>
            <a:r>
              <a:rPr lang="en-US" sz="1000" b="1" baseline="0"/>
              <a:t> </a:t>
            </a:r>
            <a:r>
              <a:rPr lang="en-US" sz="1000" b="1"/>
              <a:t>(2005-2012 ; projections 2013-2014)</a:t>
            </a: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lineChart>
        <c:grouping val="standard"/>
        <c:varyColors val="0"/>
        <c:ser>
          <c:idx val="0"/>
          <c:order val="0"/>
          <c:tx>
            <c:strRef>
              <c:f>'Eigen berekeningen'!$B$197</c:f>
              <c:strCache>
                <c:ptCount val="1"/>
                <c:pt idx="0">
                  <c:v>met 3 buurlanden </c:v>
                </c:pt>
              </c:strCache>
            </c:strRef>
          </c:tx>
          <c:spPr>
            <a:ln w="28575" cap="rnd">
              <a:solidFill>
                <a:schemeClr val="accent1"/>
              </a:solidFill>
              <a:round/>
            </a:ln>
            <a:effectLst/>
          </c:spPr>
          <c:marker>
            <c:symbol val="square"/>
            <c:size val="5"/>
            <c:spPr>
              <a:solidFill>
                <a:schemeClr val="accent1"/>
              </a:solidFill>
              <a:ln w="9525">
                <a:solidFill>
                  <a:schemeClr val="accent1"/>
                </a:solidFill>
              </a:ln>
              <a:effectLst/>
            </c:spPr>
          </c:marker>
          <c:dPt>
            <c:idx val="8"/>
            <c:marker>
              <c:symbol val="square"/>
              <c:size val="5"/>
              <c:spPr>
                <a:solidFill>
                  <a:schemeClr val="accent1"/>
                </a:solidFill>
                <a:ln w="9525">
                  <a:solidFill>
                    <a:schemeClr val="accent1"/>
                  </a:solidFill>
                </a:ln>
                <a:effectLst/>
              </c:spPr>
            </c:marker>
            <c:bubble3D val="0"/>
            <c:spPr>
              <a:ln w="28575" cap="rnd">
                <a:solidFill>
                  <a:schemeClr val="accent1"/>
                </a:solidFill>
                <a:prstDash val="sysDash"/>
                <a:round/>
              </a:ln>
              <a:effectLst/>
            </c:spPr>
          </c:dPt>
          <c:dPt>
            <c:idx val="9"/>
            <c:marker>
              <c:symbol val="square"/>
              <c:size val="5"/>
              <c:spPr>
                <a:solidFill>
                  <a:schemeClr val="accent1"/>
                </a:solidFill>
                <a:ln w="9525">
                  <a:solidFill>
                    <a:schemeClr val="accent1"/>
                  </a:solidFill>
                </a:ln>
                <a:effectLst/>
              </c:spPr>
            </c:marker>
            <c:bubble3D val="0"/>
            <c:spPr>
              <a:ln w="28575" cap="rnd">
                <a:solidFill>
                  <a:schemeClr val="accent1"/>
                </a:solidFill>
                <a:prstDash val="sysDash"/>
                <a:round/>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'Eigen berekeningen'!$C$196:$L$196</c:f>
              <c:strCache>
                <c:ptCount val="10"/>
                <c:pt idx="0">
                  <c:v>2005</c:v>
                </c:pt>
                <c:pt idx="1">
                  <c:v>2006</c:v>
                </c:pt>
                <c:pt idx="2">
                  <c:v>2007</c:v>
                </c:pt>
                <c:pt idx="3">
                  <c:v>2008</c:v>
                </c:pt>
                <c:pt idx="4">
                  <c:v>2009</c:v>
                </c:pt>
                <c:pt idx="5">
                  <c:v>2010</c:v>
                </c:pt>
                <c:pt idx="6">
                  <c:v>2011</c:v>
                </c:pt>
                <c:pt idx="7">
                  <c:v>2012</c:v>
                </c:pt>
                <c:pt idx="8">
                  <c:v>2013</c:v>
                </c:pt>
                <c:pt idx="9">
                  <c:v>2014</c:v>
                </c:pt>
              </c:strCache>
            </c:strRef>
          </c:cat>
          <c:val>
            <c:numRef>
              <c:f>'Eigen berekeningen'!$C$197:$L$197</c:f>
              <c:numCache>
                <c:formatCode>0.0%</c:formatCode>
                <c:ptCount val="10"/>
                <c:pt idx="0">
                  <c:v>0.18516847432841077</c:v>
                </c:pt>
                <c:pt idx="1">
                  <c:v>0.19250467219571799</c:v>
                </c:pt>
                <c:pt idx="2">
                  <c:v>0.2015086444268599</c:v>
                </c:pt>
                <c:pt idx="3">
                  <c:v>0.20174187475958716</c:v>
                </c:pt>
                <c:pt idx="4">
                  <c:v>0.20525814916616891</c:v>
                </c:pt>
                <c:pt idx="5">
                  <c:v>0.18485004196635435</c:v>
                </c:pt>
                <c:pt idx="6">
                  <c:v>0.20313164245193271</c:v>
                </c:pt>
                <c:pt idx="7">
                  <c:v>0.23295185463086487</c:v>
                </c:pt>
                <c:pt idx="8">
                  <c:v>0.23415708616031838</c:v>
                </c:pt>
                <c:pt idx="9">
                  <c:v>0.21844303902997142</c:v>
                </c:pt>
              </c:numCache>
            </c:numRef>
          </c:val>
          <c:smooth val="0"/>
        </c:ser>
        <c:dLbls>
          <c:dLblPos val="t"/>
          <c:showLegendKey val="0"/>
          <c:showVal val="1"/>
          <c:showCatName val="0"/>
          <c:showSerName val="0"/>
          <c:showPercent val="0"/>
          <c:showBubbleSize val="0"/>
        </c:dLbls>
        <c:marker val="1"/>
        <c:smooth val="0"/>
        <c:axId val="706210336"/>
        <c:axId val="706210728"/>
      </c:lineChart>
      <c:catAx>
        <c:axId val="706210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706210728"/>
        <c:crosses val="autoZero"/>
        <c:auto val="1"/>
        <c:lblAlgn val="ctr"/>
        <c:lblOffset val="100"/>
        <c:noMultiLvlLbl val="0"/>
      </c:catAx>
      <c:valAx>
        <c:axId val="706210728"/>
        <c:scaling>
          <c:orientation val="minMax"/>
          <c:min val="0.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706210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nl-BE" sz="1000" b="1" i="0" baseline="0">
                <a:effectLst/>
              </a:rPr>
              <a:t>Figure</a:t>
            </a:r>
            <a:r>
              <a:rPr lang="en-US" sz="1000" b="1" i="0" baseline="0">
                <a:effectLst/>
              </a:rPr>
              <a:t> 14 : Real Unit Labor Costs industrie alimentaire Belge </a:t>
            </a:r>
            <a:endParaRPr lang="en-US" sz="1000">
              <a:effectLst/>
            </a:endParaRPr>
          </a:p>
          <a:p>
            <a:pPr>
              <a:defRPr sz="1000"/>
            </a:pPr>
            <a:r>
              <a:rPr lang="en-US" sz="1000" b="1" i="0" baseline="0">
                <a:effectLst/>
              </a:rPr>
              <a:t>(Coûts salariaux/valeur ajoutée; 2003-2013)</a:t>
            </a:r>
            <a:endParaRPr lang="en-US" sz="1000">
              <a:effectLst/>
            </a:endParaRPr>
          </a:p>
          <a:p>
            <a:pPr>
              <a:defRPr sz="1000"/>
            </a:pPr>
            <a:endParaRPr lang="en-US"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lineChart>
        <c:grouping val="standard"/>
        <c:varyColors val="0"/>
        <c:ser>
          <c:idx val="0"/>
          <c:order val="0"/>
          <c:tx>
            <c:strRef>
              <c:f>'Eigen berekeningen'!$B$216</c:f>
              <c:strCache>
                <c:ptCount val="1"/>
                <c:pt idx="0">
                  <c:v>Belgium</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'Eigen berekeningen'!$C$215:$M$215</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'Eigen berekeningen'!$C$216:$M$216</c:f>
              <c:numCache>
                <c:formatCode>0.0%</c:formatCode>
                <c:ptCount val="11"/>
                <c:pt idx="0">
                  <c:v>0.57102339475715769</c:v>
                </c:pt>
                <c:pt idx="1">
                  <c:v>0.55793694472835909</c:v>
                </c:pt>
                <c:pt idx="2">
                  <c:v>0.55840989176944367</c:v>
                </c:pt>
                <c:pt idx="3">
                  <c:v>0.57402797907870684</c:v>
                </c:pt>
                <c:pt idx="4">
                  <c:v>0.57730968106038649</c:v>
                </c:pt>
                <c:pt idx="5">
                  <c:v>0.58785477359028626</c:v>
                </c:pt>
                <c:pt idx="6">
                  <c:v>0.56636518843565253</c:v>
                </c:pt>
                <c:pt idx="7">
                  <c:v>0.58672311004994948</c:v>
                </c:pt>
                <c:pt idx="8">
                  <c:v>0.60784170347187694</c:v>
                </c:pt>
                <c:pt idx="9">
                  <c:v>0.60648256655591248</c:v>
                </c:pt>
                <c:pt idx="10">
                  <c:v>0.61985534582660495</c:v>
                </c:pt>
              </c:numCache>
            </c:numRef>
          </c:val>
          <c:smooth val="0"/>
        </c:ser>
        <c:dLbls>
          <c:showLegendKey val="0"/>
          <c:showVal val="0"/>
          <c:showCatName val="0"/>
          <c:showSerName val="0"/>
          <c:showPercent val="0"/>
          <c:showBubbleSize val="0"/>
        </c:dLbls>
        <c:marker val="1"/>
        <c:smooth val="0"/>
        <c:axId val="706211512"/>
        <c:axId val="706211904"/>
      </c:lineChart>
      <c:catAx>
        <c:axId val="706211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706211904"/>
        <c:crosses val="autoZero"/>
        <c:auto val="1"/>
        <c:lblAlgn val="ctr"/>
        <c:lblOffset val="100"/>
        <c:noMultiLvlLbl val="0"/>
      </c:catAx>
      <c:valAx>
        <c:axId val="706211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706211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b="1" i="0" baseline="0">
                <a:effectLst/>
              </a:rPr>
              <a:t>Figure 15 : Surcharges electricité en wallonie par type de consommateur en Wallonie </a:t>
            </a:r>
            <a:endParaRPr lang="en-US" sz="1000">
              <a:effectLst/>
            </a:endParaRPr>
          </a:p>
          <a:p>
            <a:pPr>
              <a:defRPr sz="1000"/>
            </a:pPr>
            <a:r>
              <a:rPr lang="en-US" sz="1000" b="1" i="0" baseline="0">
                <a:effectLst/>
              </a:rPr>
              <a:t>(2010-2020)</a:t>
            </a:r>
            <a:endParaRPr lang="en-US" sz="1000">
              <a:effectLst/>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manualLayout>
          <c:layoutTarget val="inner"/>
          <c:xMode val="edge"/>
          <c:yMode val="edge"/>
          <c:x val="0.10237129782900005"/>
          <c:y val="0.15690741548039364"/>
          <c:w val="0.6935673184230069"/>
          <c:h val="0.7611295079372189"/>
        </c:manualLayout>
      </c:layout>
      <c:lineChart>
        <c:grouping val="standard"/>
        <c:varyColors val="0"/>
        <c:ser>
          <c:idx val="0"/>
          <c:order val="0"/>
          <c:tx>
            <c:strRef>
              <c:f>'Eigen berekeningen'!$B$234</c:f>
              <c:strCache>
                <c:ptCount val="1"/>
                <c:pt idx="0">
                  <c:v>2500 MWh</c:v>
                </c:pt>
              </c:strCache>
            </c:strRef>
          </c:tx>
          <c:spPr>
            <a:ln w="28575" cap="rnd">
              <a:solidFill>
                <a:schemeClr val="accent1"/>
              </a:solidFill>
              <a:round/>
            </a:ln>
            <a:effectLst/>
          </c:spPr>
          <c:marker>
            <c:symbol val="none"/>
          </c:marker>
          <c:dPt>
            <c:idx val="6"/>
            <c:marker>
              <c:symbol val="none"/>
            </c:marker>
            <c:bubble3D val="0"/>
            <c:spPr>
              <a:ln w="28575" cap="rnd">
                <a:solidFill>
                  <a:schemeClr val="accent1"/>
                </a:solidFill>
                <a:prstDash val="sysDash"/>
                <a:round/>
              </a:ln>
              <a:effectLst/>
            </c:spPr>
          </c:dPt>
          <c:cat>
            <c:numRef>
              <c:f>'Eigen berekeningen'!$C$233:$J$233</c:f>
              <c:numCache>
                <c:formatCode>General</c:formatCode>
                <c:ptCount val="7"/>
                <c:pt idx="0">
                  <c:v>2010</c:v>
                </c:pt>
                <c:pt idx="1">
                  <c:v>2011</c:v>
                </c:pt>
                <c:pt idx="2">
                  <c:v>2012</c:v>
                </c:pt>
                <c:pt idx="3">
                  <c:v>2013</c:v>
                </c:pt>
                <c:pt idx="4">
                  <c:v>2014</c:v>
                </c:pt>
                <c:pt idx="5">
                  <c:v>2015</c:v>
                </c:pt>
                <c:pt idx="6">
                  <c:v>2020</c:v>
                </c:pt>
              </c:numCache>
            </c:numRef>
          </c:cat>
          <c:val>
            <c:numRef>
              <c:f>'Eigen berekeningen'!$C$234:$J$234</c:f>
              <c:numCache>
                <c:formatCode>"€"\ #,##0.0</c:formatCode>
                <c:ptCount val="7"/>
                <c:pt idx="0">
                  <c:v>12.348674886584</c:v>
                </c:pt>
                <c:pt idx="1">
                  <c:v>14.974559224159998</c:v>
                </c:pt>
                <c:pt idx="2">
                  <c:v>16.283604099999998</c:v>
                </c:pt>
                <c:pt idx="3">
                  <c:v>31.391199080000003</c:v>
                </c:pt>
                <c:pt idx="4">
                  <c:v>35.994888119999999</c:v>
                </c:pt>
                <c:pt idx="5">
                  <c:v>40.556217700000005</c:v>
                </c:pt>
                <c:pt idx="6">
                  <c:v>51.776859999999999</c:v>
                </c:pt>
              </c:numCache>
            </c:numRef>
          </c:val>
          <c:smooth val="0"/>
        </c:ser>
        <c:ser>
          <c:idx val="1"/>
          <c:order val="1"/>
          <c:tx>
            <c:strRef>
              <c:f>'Eigen berekeningen'!$B$235</c:f>
              <c:strCache>
                <c:ptCount val="1"/>
                <c:pt idx="0">
                  <c:v>10000 MWh</c:v>
                </c:pt>
              </c:strCache>
            </c:strRef>
          </c:tx>
          <c:spPr>
            <a:ln w="28575" cap="rnd">
              <a:solidFill>
                <a:schemeClr val="accent2"/>
              </a:solidFill>
              <a:round/>
            </a:ln>
            <a:effectLst/>
          </c:spPr>
          <c:marker>
            <c:symbol val="none"/>
          </c:marker>
          <c:dPt>
            <c:idx val="0"/>
            <c:marker>
              <c:symbol val="none"/>
            </c:marker>
            <c:bubble3D val="0"/>
            <c:spPr>
              <a:ln w="28575" cap="rnd">
                <a:solidFill>
                  <a:schemeClr val="accent2"/>
                </a:solidFill>
                <a:prstDash val="sysDash"/>
                <a:round/>
              </a:ln>
              <a:effectLst/>
            </c:spPr>
          </c:dPt>
          <c:dPt>
            <c:idx val="6"/>
            <c:marker>
              <c:symbol val="none"/>
            </c:marker>
            <c:bubble3D val="0"/>
            <c:spPr>
              <a:ln w="28575" cap="rnd">
                <a:solidFill>
                  <a:schemeClr val="accent2"/>
                </a:solidFill>
                <a:prstDash val="sysDash"/>
                <a:round/>
              </a:ln>
              <a:effectLst/>
            </c:spPr>
          </c:dPt>
          <c:cat>
            <c:numRef>
              <c:f>'Eigen berekeningen'!$C$233:$J$233</c:f>
              <c:numCache>
                <c:formatCode>General</c:formatCode>
                <c:ptCount val="7"/>
                <c:pt idx="0">
                  <c:v>2010</c:v>
                </c:pt>
                <c:pt idx="1">
                  <c:v>2011</c:v>
                </c:pt>
                <c:pt idx="2">
                  <c:v>2012</c:v>
                </c:pt>
                <c:pt idx="3">
                  <c:v>2013</c:v>
                </c:pt>
                <c:pt idx="4">
                  <c:v>2014</c:v>
                </c:pt>
                <c:pt idx="5">
                  <c:v>2015</c:v>
                </c:pt>
                <c:pt idx="6">
                  <c:v>2020</c:v>
                </c:pt>
              </c:numCache>
            </c:numRef>
          </c:cat>
          <c:val>
            <c:numRef>
              <c:f>'Eigen berekeningen'!$C$235:$J$235</c:f>
              <c:numCache>
                <c:formatCode>"€"\ #,##0.0</c:formatCode>
                <c:ptCount val="7"/>
                <c:pt idx="0">
                  <c:v>12.278047689145998</c:v>
                </c:pt>
                <c:pt idx="1">
                  <c:v>14.872915756039999</c:v>
                </c:pt>
                <c:pt idx="2">
                  <c:v>16.201344774999999</c:v>
                </c:pt>
                <c:pt idx="3">
                  <c:v>31.304762270000001</c:v>
                </c:pt>
                <c:pt idx="4">
                  <c:v>35.888584529999996</c:v>
                </c:pt>
                <c:pt idx="5">
                  <c:v>37.330435675000004</c:v>
                </c:pt>
                <c:pt idx="6">
                  <c:v>47.358265000000003</c:v>
                </c:pt>
              </c:numCache>
            </c:numRef>
          </c:val>
          <c:smooth val="0"/>
        </c:ser>
        <c:ser>
          <c:idx val="2"/>
          <c:order val="2"/>
          <c:tx>
            <c:strRef>
              <c:f>'Eigen berekeningen'!$B$236</c:f>
              <c:strCache>
                <c:ptCount val="1"/>
                <c:pt idx="0">
                  <c:v>25000 MWh</c:v>
                </c:pt>
              </c:strCache>
            </c:strRef>
          </c:tx>
          <c:spPr>
            <a:ln w="28575" cap="rnd">
              <a:solidFill>
                <a:schemeClr val="accent3"/>
              </a:solidFill>
              <a:round/>
            </a:ln>
            <a:effectLst/>
          </c:spPr>
          <c:marker>
            <c:symbol val="none"/>
          </c:marker>
          <c:dPt>
            <c:idx val="6"/>
            <c:marker>
              <c:symbol val="none"/>
            </c:marker>
            <c:bubble3D val="0"/>
            <c:spPr>
              <a:ln w="28575" cap="rnd">
                <a:solidFill>
                  <a:schemeClr val="accent3"/>
                </a:solidFill>
                <a:prstDash val="sysDash"/>
                <a:round/>
              </a:ln>
              <a:effectLst/>
            </c:spPr>
          </c:dPt>
          <c:cat>
            <c:numRef>
              <c:f>'Eigen berekeningen'!$C$233:$J$233</c:f>
              <c:numCache>
                <c:formatCode>General</c:formatCode>
                <c:ptCount val="7"/>
                <c:pt idx="0">
                  <c:v>2010</c:v>
                </c:pt>
                <c:pt idx="1">
                  <c:v>2011</c:v>
                </c:pt>
                <c:pt idx="2">
                  <c:v>2012</c:v>
                </c:pt>
                <c:pt idx="3">
                  <c:v>2013</c:v>
                </c:pt>
                <c:pt idx="4">
                  <c:v>2014</c:v>
                </c:pt>
                <c:pt idx="5">
                  <c:v>2015</c:v>
                </c:pt>
                <c:pt idx="6">
                  <c:v>2020</c:v>
                </c:pt>
              </c:numCache>
            </c:numRef>
          </c:cat>
          <c:val>
            <c:numRef>
              <c:f>'Eigen berekeningen'!$C$236:$J$236</c:f>
              <c:numCache>
                <c:formatCode>"€"\ #,##0.0</c:formatCode>
                <c:ptCount val="7"/>
                <c:pt idx="0">
                  <c:v>11.633922249658399</c:v>
                </c:pt>
                <c:pt idx="1">
                  <c:v>14.222587062416</c:v>
                </c:pt>
                <c:pt idx="2">
                  <c:v>15.47614291</c:v>
                </c:pt>
                <c:pt idx="3">
                  <c:v>30.414474908000003</c:v>
                </c:pt>
                <c:pt idx="4">
                  <c:v>35.377715812000005</c:v>
                </c:pt>
                <c:pt idx="5">
                  <c:v>36.067637269999999</c:v>
                </c:pt>
                <c:pt idx="6">
                  <c:v>45.589045999999996</c:v>
                </c:pt>
              </c:numCache>
            </c:numRef>
          </c:val>
          <c:smooth val="0"/>
        </c:ser>
        <c:ser>
          <c:idx val="3"/>
          <c:order val="3"/>
          <c:tx>
            <c:strRef>
              <c:f>'Eigen berekeningen'!$B$237</c:f>
              <c:strCache>
                <c:ptCount val="1"/>
                <c:pt idx="0">
                  <c:v>50000 MWh</c:v>
                </c:pt>
              </c:strCache>
            </c:strRef>
          </c:tx>
          <c:spPr>
            <a:ln w="28575" cap="rnd">
              <a:solidFill>
                <a:schemeClr val="accent4"/>
              </a:solidFill>
              <a:round/>
            </a:ln>
            <a:effectLst/>
          </c:spPr>
          <c:marker>
            <c:symbol val="none"/>
          </c:marker>
          <c:dPt>
            <c:idx val="6"/>
            <c:marker>
              <c:symbol val="none"/>
            </c:marker>
            <c:bubble3D val="0"/>
            <c:spPr>
              <a:ln w="28575" cap="rnd">
                <a:solidFill>
                  <a:schemeClr val="accent4"/>
                </a:solidFill>
                <a:prstDash val="sysDash"/>
                <a:round/>
              </a:ln>
              <a:effectLst/>
            </c:spPr>
          </c:dPt>
          <c:cat>
            <c:numRef>
              <c:f>'Eigen berekeningen'!$C$233:$J$233</c:f>
              <c:numCache>
                <c:formatCode>General</c:formatCode>
                <c:ptCount val="7"/>
                <c:pt idx="0">
                  <c:v>2010</c:v>
                </c:pt>
                <c:pt idx="1">
                  <c:v>2011</c:v>
                </c:pt>
                <c:pt idx="2">
                  <c:v>2012</c:v>
                </c:pt>
                <c:pt idx="3">
                  <c:v>2013</c:v>
                </c:pt>
                <c:pt idx="4">
                  <c:v>2014</c:v>
                </c:pt>
                <c:pt idx="5">
                  <c:v>2015</c:v>
                </c:pt>
                <c:pt idx="6">
                  <c:v>2020</c:v>
                </c:pt>
              </c:numCache>
            </c:numRef>
          </c:cat>
          <c:val>
            <c:numRef>
              <c:f>'Eigen berekeningen'!$C$237:$J$237</c:f>
              <c:numCache>
                <c:formatCode>"€"\ #,##0.0</c:formatCode>
                <c:ptCount val="7"/>
                <c:pt idx="0">
                  <c:v>9.9450263978291993</c:v>
                </c:pt>
                <c:pt idx="1">
                  <c:v>12.345339551208001</c:v>
                </c:pt>
                <c:pt idx="2">
                  <c:v>13.559108955000001</c:v>
                </c:pt>
                <c:pt idx="3">
                  <c:v>28.143572453999997</c:v>
                </c:pt>
                <c:pt idx="4">
                  <c:v>35.704485905999995</c:v>
                </c:pt>
                <c:pt idx="5">
                  <c:v>33.339241635</c:v>
                </c:pt>
                <c:pt idx="6">
                  <c:v>40.438291</c:v>
                </c:pt>
              </c:numCache>
            </c:numRef>
          </c:val>
          <c:smooth val="0"/>
        </c:ser>
        <c:ser>
          <c:idx val="4"/>
          <c:order val="4"/>
          <c:tx>
            <c:strRef>
              <c:f>'Eigen berekeningen'!$B$238</c:f>
              <c:strCache>
                <c:ptCount val="1"/>
                <c:pt idx="0">
                  <c:v>100000 MWh</c:v>
                </c:pt>
              </c:strCache>
            </c:strRef>
          </c:tx>
          <c:spPr>
            <a:ln w="28575" cap="rnd">
              <a:solidFill>
                <a:schemeClr val="accent5"/>
              </a:solidFill>
              <a:round/>
            </a:ln>
            <a:effectLst/>
          </c:spPr>
          <c:marker>
            <c:symbol val="none"/>
          </c:marker>
          <c:dPt>
            <c:idx val="6"/>
            <c:marker>
              <c:symbol val="none"/>
            </c:marker>
            <c:bubble3D val="0"/>
            <c:spPr>
              <a:ln w="28575" cap="rnd">
                <a:solidFill>
                  <a:schemeClr val="accent5"/>
                </a:solidFill>
                <a:prstDash val="sysDash"/>
                <a:round/>
              </a:ln>
              <a:effectLst/>
            </c:spPr>
          </c:dPt>
          <c:cat>
            <c:numRef>
              <c:f>'Eigen berekeningen'!$C$233:$J$233</c:f>
              <c:numCache>
                <c:formatCode>General</c:formatCode>
                <c:ptCount val="7"/>
                <c:pt idx="0">
                  <c:v>2010</c:v>
                </c:pt>
                <c:pt idx="1">
                  <c:v>2011</c:v>
                </c:pt>
                <c:pt idx="2">
                  <c:v>2012</c:v>
                </c:pt>
                <c:pt idx="3">
                  <c:v>2013</c:v>
                </c:pt>
                <c:pt idx="4">
                  <c:v>2014</c:v>
                </c:pt>
                <c:pt idx="5">
                  <c:v>2015</c:v>
                </c:pt>
                <c:pt idx="6">
                  <c:v>2020</c:v>
                </c:pt>
              </c:numCache>
            </c:numRef>
          </c:cat>
          <c:val>
            <c:numRef>
              <c:f>'Eigen berekeningen'!$C$238:$J$238</c:f>
              <c:numCache>
                <c:formatCode>"€"\ #,##0.0</c:formatCode>
                <c:ptCount val="7"/>
                <c:pt idx="0">
                  <c:v>9.1005784719146003</c:v>
                </c:pt>
                <c:pt idx="1">
                  <c:v>10.710134010000001</c:v>
                </c:pt>
                <c:pt idx="2">
                  <c:v>12.600591977500001</c:v>
                </c:pt>
                <c:pt idx="3">
                  <c:v>27.008121227</c:v>
                </c:pt>
                <c:pt idx="4">
                  <c:v>32.141082453000003</c:v>
                </c:pt>
                <c:pt idx="5">
                  <c:v>28.036541567500002</c:v>
                </c:pt>
                <c:pt idx="6">
                  <c:v>32.347617499999998</c:v>
                </c:pt>
              </c:numCache>
            </c:numRef>
          </c:val>
          <c:smooth val="0"/>
        </c:ser>
        <c:ser>
          <c:idx val="5"/>
          <c:order val="5"/>
          <c:tx>
            <c:strRef>
              <c:f>'Eigen berekeningen'!$B$239</c:f>
              <c:strCache>
                <c:ptCount val="1"/>
                <c:pt idx="0">
                  <c:v>500000 MWh</c:v>
                </c:pt>
              </c:strCache>
            </c:strRef>
          </c:tx>
          <c:spPr>
            <a:ln w="28575" cap="rnd">
              <a:solidFill>
                <a:schemeClr val="accent6"/>
              </a:solidFill>
              <a:round/>
            </a:ln>
            <a:effectLst/>
          </c:spPr>
          <c:marker>
            <c:symbol val="none"/>
          </c:marker>
          <c:dPt>
            <c:idx val="6"/>
            <c:marker>
              <c:symbol val="none"/>
            </c:marker>
            <c:bubble3D val="0"/>
            <c:spPr>
              <a:ln w="28575" cap="rnd">
                <a:solidFill>
                  <a:schemeClr val="accent6"/>
                </a:solidFill>
                <a:prstDash val="sysDash"/>
                <a:round/>
              </a:ln>
              <a:effectLst/>
            </c:spPr>
          </c:dPt>
          <c:cat>
            <c:numRef>
              <c:f>'Eigen berekeningen'!$C$233:$J$233</c:f>
              <c:numCache>
                <c:formatCode>General</c:formatCode>
                <c:ptCount val="7"/>
                <c:pt idx="0">
                  <c:v>2010</c:v>
                </c:pt>
                <c:pt idx="1">
                  <c:v>2011</c:v>
                </c:pt>
                <c:pt idx="2">
                  <c:v>2012</c:v>
                </c:pt>
                <c:pt idx="3">
                  <c:v>2013</c:v>
                </c:pt>
                <c:pt idx="4">
                  <c:v>2014</c:v>
                </c:pt>
                <c:pt idx="5">
                  <c:v>2015</c:v>
                </c:pt>
                <c:pt idx="6">
                  <c:v>2020</c:v>
                </c:pt>
              </c:numCache>
            </c:numRef>
          </c:cat>
          <c:val>
            <c:numRef>
              <c:f>'Eigen berekeningen'!$C$239:$J$239</c:f>
              <c:numCache>
                <c:formatCode>"€"\ #,##0.0</c:formatCode>
                <c:ptCount val="7"/>
                <c:pt idx="0">
                  <c:v>3.4772302746000001</c:v>
                </c:pt>
                <c:pt idx="1">
                  <c:v>4.2206068019999998</c:v>
                </c:pt>
                <c:pt idx="2">
                  <c:v>4.9086499999999997</c:v>
                </c:pt>
                <c:pt idx="3">
                  <c:v>5.4931999999999999</c:v>
                </c:pt>
                <c:pt idx="4">
                  <c:v>7.3003915999999993</c:v>
                </c:pt>
                <c:pt idx="5">
                  <c:v>6.4399584000000001</c:v>
                </c:pt>
                <c:pt idx="6">
                  <c:v>9.7946249999999999</c:v>
                </c:pt>
              </c:numCache>
            </c:numRef>
          </c:val>
          <c:smooth val="0"/>
        </c:ser>
        <c:dLbls>
          <c:showLegendKey val="0"/>
          <c:showVal val="0"/>
          <c:showCatName val="0"/>
          <c:showSerName val="0"/>
          <c:showPercent val="0"/>
          <c:showBubbleSize val="0"/>
        </c:dLbls>
        <c:smooth val="0"/>
        <c:axId val="706212688"/>
        <c:axId val="706213080"/>
      </c:lineChart>
      <c:catAx>
        <c:axId val="706212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706213080"/>
        <c:crosses val="autoZero"/>
        <c:auto val="1"/>
        <c:lblAlgn val="ctr"/>
        <c:lblOffset val="100"/>
        <c:noMultiLvlLbl val="0"/>
      </c:catAx>
      <c:valAx>
        <c:axId val="706213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rPr>
                  <a:t>€/MWh</a:t>
                </a:r>
                <a:endParaRPr lang="en-US" sz="1000" b="0">
                  <a:effectLst/>
                </a:endParaRPr>
              </a:p>
            </c:rich>
          </c:tx>
          <c:layout>
            <c:manualLayout>
              <c:xMode val="edge"/>
              <c:yMode val="edge"/>
              <c:x val="8.4301011031318318E-3"/>
              <c:y val="0.4745288732490365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quot;€&quot;\ #,##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706212688"/>
        <c:crosses val="autoZero"/>
        <c:crossBetween val="between"/>
      </c:valAx>
      <c:spPr>
        <a:noFill/>
        <a:ln>
          <a:noFill/>
        </a:ln>
        <a:effectLst/>
      </c:spPr>
    </c:plotArea>
    <c:legend>
      <c:legendPos val="r"/>
      <c:layout>
        <c:manualLayout>
          <c:xMode val="edge"/>
          <c:yMode val="edge"/>
          <c:x val="0.81076753472222218"/>
          <c:y val="0.51599104938271612"/>
          <c:w val="0.17600329861111111"/>
          <c:h val="0.396877777777777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fr-BE" sz="1000" b="1" i="0" baseline="0">
                <a:effectLst/>
              </a:rPr>
              <a:t>Figure 16 : Commerce extérieur industrie alimentaire Wallonie</a:t>
            </a:r>
            <a:endParaRPr lang="en-US" sz="1000">
              <a:effectLst/>
            </a:endParaRPr>
          </a:p>
          <a:p>
            <a:pPr>
              <a:defRPr sz="1000"/>
            </a:pPr>
            <a:r>
              <a:rPr lang="fr-BE" sz="1000" b="1" i="0" baseline="0">
                <a:effectLst/>
              </a:rPr>
              <a:t> (2004-2014 en millions d'EUR)</a:t>
            </a:r>
            <a:endParaRPr lang="en-US" sz="1000">
              <a:effectLst/>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lineChart>
        <c:grouping val="standard"/>
        <c:varyColors val="0"/>
        <c:ser>
          <c:idx val="0"/>
          <c:order val="0"/>
          <c:tx>
            <c:strRef>
              <c:f>'Eigen berekeningen'!$B$247</c:f>
              <c:strCache>
                <c:ptCount val="1"/>
                <c:pt idx="0">
                  <c:v>Exportations</c:v>
                </c:pt>
              </c:strCache>
            </c:strRef>
          </c:tx>
          <c:spPr>
            <a:ln w="28575" cap="rnd">
              <a:solidFill>
                <a:schemeClr val="accent1"/>
              </a:solidFill>
              <a:round/>
            </a:ln>
            <a:effectLst/>
          </c:spPr>
          <c:marker>
            <c:symbol val="diamond"/>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'Eigen berekeningen'!$C$246:$O$246</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'Eigen berekeningen'!$C$247:$O$247</c:f>
              <c:numCache>
                <c:formatCode>"€"\ #,##0</c:formatCode>
                <c:ptCount val="11"/>
                <c:pt idx="0">
                  <c:v>3203.4857099999999</c:v>
                </c:pt>
                <c:pt idx="1">
                  <c:v>3313.4058600000003</c:v>
                </c:pt>
                <c:pt idx="2">
                  <c:v>3366.5778399999995</c:v>
                </c:pt>
                <c:pt idx="3">
                  <c:v>3531.00119</c:v>
                </c:pt>
                <c:pt idx="4">
                  <c:v>3613.9117299999998</c:v>
                </c:pt>
                <c:pt idx="5">
                  <c:v>3436.0265400000003</c:v>
                </c:pt>
                <c:pt idx="6">
                  <c:v>3752.8164148399992</c:v>
                </c:pt>
                <c:pt idx="7">
                  <c:v>4032.1270353600003</c:v>
                </c:pt>
                <c:pt idx="8">
                  <c:v>4181.27114454</c:v>
                </c:pt>
                <c:pt idx="9">
                  <c:v>4133.59402761</c:v>
                </c:pt>
                <c:pt idx="10">
                  <c:v>4220.522096409999</c:v>
                </c:pt>
              </c:numCache>
            </c:numRef>
          </c:val>
          <c:smooth val="0"/>
        </c:ser>
        <c:ser>
          <c:idx val="1"/>
          <c:order val="1"/>
          <c:tx>
            <c:strRef>
              <c:f>'Eigen berekeningen'!$B$248</c:f>
              <c:strCache>
                <c:ptCount val="1"/>
                <c:pt idx="0">
                  <c:v>Importations</c:v>
                </c:pt>
              </c:strCache>
            </c:strRef>
          </c:tx>
          <c:spPr>
            <a:ln w="28575" cap="rnd">
              <a:solidFill>
                <a:schemeClr val="accent2"/>
              </a:solidFill>
              <a:round/>
            </a:ln>
            <a:effectLst/>
          </c:spPr>
          <c:marker>
            <c:symbol val="diamond"/>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'Eigen berekeningen'!$C$246:$O$246</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'Eigen berekeningen'!$C$248:$O$248</c:f>
              <c:numCache>
                <c:formatCode>"€"\ #,##0</c:formatCode>
                <c:ptCount val="11"/>
                <c:pt idx="0">
                  <c:v>2344.8006500000001</c:v>
                </c:pt>
                <c:pt idx="1">
                  <c:v>2397.3712499999997</c:v>
                </c:pt>
                <c:pt idx="2">
                  <c:v>2459.0119799999993</c:v>
                </c:pt>
                <c:pt idx="3">
                  <c:v>2622.4265399999999</c:v>
                </c:pt>
                <c:pt idx="4">
                  <c:v>2704.1336600000004</c:v>
                </c:pt>
                <c:pt idx="5">
                  <c:v>2516.6135799999997</c:v>
                </c:pt>
                <c:pt idx="6">
                  <c:v>2658.13610737</c:v>
                </c:pt>
                <c:pt idx="7">
                  <c:v>3054.8037006</c:v>
                </c:pt>
                <c:pt idx="8">
                  <c:v>3063.4087659800007</c:v>
                </c:pt>
                <c:pt idx="9">
                  <c:v>3391.0476392099999</c:v>
                </c:pt>
                <c:pt idx="10">
                  <c:v>3344.73313779</c:v>
                </c:pt>
              </c:numCache>
            </c:numRef>
          </c:val>
          <c:smooth val="0"/>
        </c:ser>
        <c:ser>
          <c:idx val="2"/>
          <c:order val="2"/>
          <c:tx>
            <c:strRef>
              <c:f>'Eigen berekeningen'!$B$249</c:f>
              <c:strCache>
                <c:ptCount val="1"/>
                <c:pt idx="0">
                  <c:v>Solde balance commerciale</c:v>
                </c:pt>
              </c:strCache>
            </c:strRef>
          </c:tx>
          <c:spPr>
            <a:ln w="28575" cap="rnd">
              <a:solidFill>
                <a:schemeClr val="accent3"/>
              </a:solidFill>
              <a:round/>
            </a:ln>
            <a:effectLst/>
          </c:spPr>
          <c:marker>
            <c:symbol val="triang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'Eigen berekeningen'!$C$246:$O$246</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'Eigen berekeningen'!$C$249:$O$249</c:f>
              <c:numCache>
                <c:formatCode>"€"\ #,##0</c:formatCode>
                <c:ptCount val="11"/>
                <c:pt idx="0">
                  <c:v>858.68505999999979</c:v>
                </c:pt>
                <c:pt idx="1">
                  <c:v>916.03461000000061</c:v>
                </c:pt>
                <c:pt idx="2">
                  <c:v>907.56586000000016</c:v>
                </c:pt>
                <c:pt idx="3">
                  <c:v>908.57465000000002</c:v>
                </c:pt>
                <c:pt idx="4">
                  <c:v>909.77806999999939</c:v>
                </c:pt>
                <c:pt idx="5">
                  <c:v>919.41296000000057</c:v>
                </c:pt>
                <c:pt idx="6">
                  <c:v>1094.6803074699992</c:v>
                </c:pt>
                <c:pt idx="7">
                  <c:v>977.32333476000019</c:v>
                </c:pt>
                <c:pt idx="8">
                  <c:v>1117.8623785599996</c:v>
                </c:pt>
                <c:pt idx="9">
                  <c:v>742.54638839999961</c:v>
                </c:pt>
                <c:pt idx="10">
                  <c:v>875.78895861999945</c:v>
                </c:pt>
              </c:numCache>
            </c:numRef>
          </c:val>
          <c:smooth val="0"/>
        </c:ser>
        <c:dLbls>
          <c:dLblPos val="t"/>
          <c:showLegendKey val="0"/>
          <c:showVal val="1"/>
          <c:showCatName val="0"/>
          <c:showSerName val="0"/>
          <c:showPercent val="0"/>
          <c:showBubbleSize val="0"/>
        </c:dLbls>
        <c:marker val="1"/>
        <c:smooth val="0"/>
        <c:axId val="706213864"/>
        <c:axId val="706214256"/>
      </c:lineChart>
      <c:catAx>
        <c:axId val="706213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706214256"/>
        <c:crosses val="autoZero"/>
        <c:auto val="1"/>
        <c:lblAlgn val="ctr"/>
        <c:lblOffset val="100"/>
        <c:noMultiLvlLbl val="0"/>
      </c:catAx>
      <c:valAx>
        <c:axId val="706214256"/>
        <c:scaling>
          <c:orientation val="minMax"/>
        </c:scaling>
        <c:delete val="0"/>
        <c:axPos val="l"/>
        <c:majorGridlines>
          <c:spPr>
            <a:ln w="9525" cap="flat" cmpd="sng" algn="ctr">
              <a:solidFill>
                <a:schemeClr val="tx1">
                  <a:lumMod val="15000"/>
                  <a:lumOff val="85000"/>
                </a:schemeClr>
              </a:solidFill>
              <a:round/>
            </a:ln>
            <a:effectLst/>
          </c:spPr>
        </c:majorGridlines>
        <c:numFmt formatCode="&quot;€&quot;\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706213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nl-BE" sz="1000" b="1" i="0" baseline="0">
                <a:effectLst/>
              </a:rPr>
              <a:t>Figure 17 : répartition des exportations par marché d'exportation </a:t>
            </a:r>
            <a:endParaRPr lang="en-US" sz="1000">
              <a:effectLst/>
            </a:endParaRPr>
          </a:p>
          <a:p>
            <a:pPr>
              <a:defRPr sz="1000"/>
            </a:pPr>
            <a:r>
              <a:rPr lang="nl-BE" sz="1000" b="1" i="0" baseline="0">
                <a:effectLst/>
              </a:rPr>
              <a:t>industrie alimentaire wallonne (2004-2014)</a:t>
            </a:r>
            <a:endParaRPr lang="en-US" sz="1000">
              <a:effectLst/>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manualLayout>
          <c:layoutTarget val="inner"/>
          <c:xMode val="edge"/>
          <c:yMode val="edge"/>
          <c:x val="0.15227918546660238"/>
          <c:y val="0.16289772979992131"/>
          <c:w val="0.8203320839471453"/>
          <c:h val="0.62780958993604896"/>
        </c:manualLayout>
      </c:layout>
      <c:barChart>
        <c:barDir val="col"/>
        <c:grouping val="clustered"/>
        <c:varyColors val="0"/>
        <c:ser>
          <c:idx val="0"/>
          <c:order val="0"/>
          <c:tx>
            <c:strRef>
              <c:f>'Eigen berekeningen'!$B$285</c:f>
              <c:strCache>
                <c:ptCount val="1"/>
                <c:pt idx="0">
                  <c:v>2004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'Eigen berekeningen'!$C$284:$J$284</c:f>
              <c:strCache>
                <c:ptCount val="7"/>
                <c:pt idx="0">
                  <c:v>FR</c:v>
                </c:pt>
                <c:pt idx="1">
                  <c:v>NL</c:v>
                </c:pt>
                <c:pt idx="2">
                  <c:v>DE</c:v>
                </c:pt>
                <c:pt idx="3">
                  <c:v>GB</c:v>
                </c:pt>
                <c:pt idx="4">
                  <c:v>IT</c:v>
                </c:pt>
                <c:pt idx="5">
                  <c:v>Reste UE-15</c:v>
                </c:pt>
                <c:pt idx="6">
                  <c:v>Reste du monde</c:v>
                </c:pt>
              </c:strCache>
            </c:strRef>
          </c:cat>
          <c:val>
            <c:numRef>
              <c:f>'Eigen berekeningen'!$C$285:$J$285</c:f>
              <c:numCache>
                <c:formatCode>"€"\ #,##0</c:formatCode>
                <c:ptCount val="7"/>
                <c:pt idx="0">
                  <c:v>874.87116000000003</c:v>
                </c:pt>
                <c:pt idx="1">
                  <c:v>531.58100999999988</c:v>
                </c:pt>
                <c:pt idx="2">
                  <c:v>483.46776</c:v>
                </c:pt>
                <c:pt idx="3">
                  <c:v>296.87420000000003</c:v>
                </c:pt>
                <c:pt idx="4">
                  <c:v>201.84211999999997</c:v>
                </c:pt>
                <c:pt idx="5">
                  <c:v>407.83539000000002</c:v>
                </c:pt>
                <c:pt idx="6">
                  <c:v>407.01407000000006</c:v>
                </c:pt>
              </c:numCache>
            </c:numRef>
          </c:val>
        </c:ser>
        <c:ser>
          <c:idx val="1"/>
          <c:order val="1"/>
          <c:tx>
            <c:strRef>
              <c:f>'Eigen berekeningen'!$B$286</c:f>
              <c:strCache>
                <c:ptCount val="1"/>
                <c:pt idx="0">
                  <c:v>2014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'Eigen berekeningen'!$C$284:$J$284</c:f>
              <c:strCache>
                <c:ptCount val="7"/>
                <c:pt idx="0">
                  <c:v>FR</c:v>
                </c:pt>
                <c:pt idx="1">
                  <c:v>NL</c:v>
                </c:pt>
                <c:pt idx="2">
                  <c:v>DE</c:v>
                </c:pt>
                <c:pt idx="3">
                  <c:v>GB</c:v>
                </c:pt>
                <c:pt idx="4">
                  <c:v>IT</c:v>
                </c:pt>
                <c:pt idx="5">
                  <c:v>Reste UE-15</c:v>
                </c:pt>
                <c:pt idx="6">
                  <c:v>Reste du monde</c:v>
                </c:pt>
              </c:strCache>
            </c:strRef>
          </c:cat>
          <c:val>
            <c:numRef>
              <c:f>'Eigen berekeningen'!$C$286:$J$286</c:f>
              <c:numCache>
                <c:formatCode>"€"\ #,##0</c:formatCode>
                <c:ptCount val="7"/>
                <c:pt idx="0">
                  <c:v>1144.3135604400002</c:v>
                </c:pt>
                <c:pt idx="1">
                  <c:v>737.96661945000005</c:v>
                </c:pt>
                <c:pt idx="2">
                  <c:v>641.08175188999996</c:v>
                </c:pt>
                <c:pt idx="3">
                  <c:v>299.59912950000006</c:v>
                </c:pt>
                <c:pt idx="4">
                  <c:v>236.58768743000005</c:v>
                </c:pt>
                <c:pt idx="5">
                  <c:v>486.15176178999991</c:v>
                </c:pt>
                <c:pt idx="6">
                  <c:v>674.82158590999961</c:v>
                </c:pt>
              </c:numCache>
            </c:numRef>
          </c:val>
        </c:ser>
        <c:dLbls>
          <c:dLblPos val="outEnd"/>
          <c:showLegendKey val="0"/>
          <c:showVal val="1"/>
          <c:showCatName val="0"/>
          <c:showSerName val="0"/>
          <c:showPercent val="0"/>
          <c:showBubbleSize val="0"/>
        </c:dLbls>
        <c:gapWidth val="219"/>
        <c:overlap val="-27"/>
        <c:axId val="707526152"/>
        <c:axId val="707526544"/>
      </c:barChart>
      <c:catAx>
        <c:axId val="707526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707526544"/>
        <c:crosses val="autoZero"/>
        <c:auto val="1"/>
        <c:lblAlgn val="ctr"/>
        <c:lblOffset val="100"/>
        <c:noMultiLvlLbl val="0"/>
      </c:catAx>
      <c:valAx>
        <c:axId val="707526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BE" sz="1000" b="0" i="0" baseline="0">
                    <a:effectLst/>
                  </a:rPr>
                  <a:t>Millions d'euro</a:t>
                </a:r>
                <a:endParaRPr lang="en-US" sz="1000">
                  <a:effectLst/>
                </a:endParaRPr>
              </a:p>
            </c:rich>
          </c:tx>
          <c:layout>
            <c:manualLayout>
              <c:xMode val="edge"/>
              <c:yMode val="edge"/>
              <c:x val="9.9595383950007825E-3"/>
              <c:y val="0.354143067487922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BE"/>
            </a:p>
          </c:txPr>
        </c:title>
        <c:numFmt formatCode="&quot;€&quot;\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707526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en-US" sz="1000" b="1"/>
              <a:t>Figure 18 : Répartition des exportations par groupe de produit (2014)</a:t>
            </a: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pieChart>
        <c:varyColors val="1"/>
        <c:ser>
          <c:idx val="12"/>
          <c:order val="12"/>
          <c:tx>
            <c:strRef>
              <c:f>'Eigen berekeningen'!$O$260</c:f>
              <c:strCache>
                <c:ptCount val="1"/>
                <c:pt idx="0">
                  <c:v>2014</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Lbls>
            <c:dLbl>
              <c:idx val="0"/>
              <c:layout>
                <c:manualLayout>
                  <c:x val="1.7627517361111112E-2"/>
                  <c:y val="3.3546913580246911E-2"/>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6.4987847222222226E-3"/>
                  <c:y val="-9.5947530864197526E-3"/>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2.06328125E-3"/>
                  <c:y val="-6.2249999999999996E-3"/>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2.0485850694444443E-2"/>
                  <c:y val="-3.0190123456790122E-2"/>
                </c:manualLayout>
              </c:layout>
              <c:showLegendKey val="0"/>
              <c:showVal val="0"/>
              <c:showCatName val="1"/>
              <c:showSerName val="0"/>
              <c:showPercent val="1"/>
              <c:showBubbleSize val="0"/>
              <c:extLst>
                <c:ext xmlns:c15="http://schemas.microsoft.com/office/drawing/2012/chart" uri="{CE6537A1-D6FC-4f65-9D91-7224C49458BB}"/>
              </c:extLst>
            </c:dLbl>
            <c:dLbl>
              <c:idx val="4"/>
              <c:layout>
                <c:manualLayout>
                  <c:x val="2.5018229166666665E-3"/>
                  <c:y val="-6.3669753086419752E-3"/>
                </c:manualLayout>
              </c:layout>
              <c:showLegendKey val="0"/>
              <c:showVal val="0"/>
              <c:showCatName val="1"/>
              <c:showSerName val="0"/>
              <c:showPercent val="1"/>
              <c:showBubbleSize val="0"/>
              <c:extLst>
                <c:ext xmlns:c15="http://schemas.microsoft.com/office/drawing/2012/chart" uri="{CE6537A1-D6FC-4f65-9D91-7224C49458BB}"/>
              </c:extLst>
            </c:dLbl>
            <c:dLbl>
              <c:idx val="5"/>
              <c:layout>
                <c:manualLayout>
                  <c:x val="-9.6690104166666669E-3"/>
                  <c:y val="2.4201543209876615E-2"/>
                </c:manualLayout>
              </c:layout>
              <c:showLegendKey val="0"/>
              <c:showVal val="0"/>
              <c:showCatName val="1"/>
              <c:showSerName val="0"/>
              <c:showPercent val="1"/>
              <c:showBubbleSize val="0"/>
              <c:extLst>
                <c:ext xmlns:c15="http://schemas.microsoft.com/office/drawing/2012/chart" uri="{CE6537A1-D6FC-4f65-9D91-7224C49458BB}"/>
              </c:extLst>
            </c:dLbl>
            <c:dLbl>
              <c:idx val="10"/>
              <c:layout>
                <c:manualLayout>
                  <c:x val="4.539175347222222E-2"/>
                  <c:y val="-1.9067901234567902E-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nl-BE"/>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'Eigen berekeningen'!$B$261:$B$271</c:f>
              <c:strCache>
                <c:ptCount val="11"/>
                <c:pt idx="0">
                  <c:v>Produits laitiers</c:v>
                </c:pt>
                <c:pt idx="1">
                  <c:v>Préparations à base de fruits et légumes</c:v>
                </c:pt>
                <c:pt idx="2">
                  <c:v>Boissons</c:v>
                </c:pt>
                <c:pt idx="3">
                  <c:v>Préparations à base de céréales</c:v>
                </c:pt>
                <c:pt idx="4">
                  <c:v>Viande</c:v>
                </c:pt>
                <c:pt idx="5">
                  <c:v>Produits divers</c:v>
                </c:pt>
                <c:pt idx="6">
                  <c:v>Farine et orge</c:v>
                </c:pt>
                <c:pt idx="7">
                  <c:v>Légumes</c:v>
                </c:pt>
                <c:pt idx="8">
                  <c:v>Sucre et confiseries</c:v>
                </c:pt>
                <c:pt idx="9">
                  <c:v>Graisses et huiles</c:v>
                </c:pt>
                <c:pt idx="10">
                  <c:v>Autre produits</c:v>
                </c:pt>
              </c:strCache>
            </c:strRef>
          </c:cat>
          <c:val>
            <c:numRef>
              <c:f>'Eigen berekeningen'!$O$261:$O$271</c:f>
              <c:numCache>
                <c:formatCode>"€"\ #,##0</c:formatCode>
                <c:ptCount val="11"/>
                <c:pt idx="0">
                  <c:v>1209.5450810499999</c:v>
                </c:pt>
                <c:pt idx="1">
                  <c:v>599.98751945999993</c:v>
                </c:pt>
                <c:pt idx="2">
                  <c:v>467.53052032999994</c:v>
                </c:pt>
                <c:pt idx="3">
                  <c:v>340.21482702999998</c:v>
                </c:pt>
                <c:pt idx="4">
                  <c:v>337.50672493000002</c:v>
                </c:pt>
                <c:pt idx="5">
                  <c:v>235.21365397</c:v>
                </c:pt>
                <c:pt idx="6">
                  <c:v>221.76553243000001</c:v>
                </c:pt>
                <c:pt idx="7">
                  <c:v>201.16378130000001</c:v>
                </c:pt>
                <c:pt idx="8">
                  <c:v>190.58041286000002</c:v>
                </c:pt>
                <c:pt idx="9">
                  <c:v>109.75861643</c:v>
                </c:pt>
                <c:pt idx="10">
                  <c:v>307.25542662000004</c:v>
                </c:pt>
              </c:numCache>
            </c:numRef>
          </c:val>
        </c:ser>
        <c:dLbls>
          <c:showLegendKey val="0"/>
          <c:showVal val="0"/>
          <c:showCatName val="1"/>
          <c:showSerName val="0"/>
          <c:showPercent val="1"/>
          <c:showBubbleSize val="0"/>
          <c:showLeaderLines val="1"/>
        </c:dLbls>
        <c:firstSliceAng val="0"/>
        <c:extLst>
          <c:ext xmlns:c15="http://schemas.microsoft.com/office/drawing/2012/chart" uri="{02D57815-91ED-43cb-92C2-25804820EDAC}">
            <c15:filteredPieSeries>
              <c15:ser>
                <c:idx val="0"/>
                <c:order val="0"/>
                <c:tx>
                  <c:strRef>
                    <c:extLst>
                      <c:ext uri="{02D57815-91ED-43cb-92C2-25804820EDAC}">
                        <c15:formulaRef>
                          <c15:sqref>'Eigen berekeningen'!$C$260</c15:sqref>
                        </c15:formulaRef>
                      </c:ext>
                    </c:extLst>
                    <c:strCache>
                      <c:ptCount val="1"/>
                      <c:pt idx="0">
                        <c:v>2002</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'Eigen berekeningen'!$B$261:$B$271</c15:sqref>
                        </c15:formulaRef>
                      </c:ext>
                    </c:extLst>
                    <c:strCache>
                      <c:ptCount val="11"/>
                      <c:pt idx="0">
                        <c:v>Produits laitiers</c:v>
                      </c:pt>
                      <c:pt idx="1">
                        <c:v>Préparations à base de fruits et légumes</c:v>
                      </c:pt>
                      <c:pt idx="2">
                        <c:v>Boissons</c:v>
                      </c:pt>
                      <c:pt idx="3">
                        <c:v>Préparations à base de céréales</c:v>
                      </c:pt>
                      <c:pt idx="4">
                        <c:v>Viande</c:v>
                      </c:pt>
                      <c:pt idx="5">
                        <c:v>Produits divers</c:v>
                      </c:pt>
                      <c:pt idx="6">
                        <c:v>Farine et orge</c:v>
                      </c:pt>
                      <c:pt idx="7">
                        <c:v>Légumes</c:v>
                      </c:pt>
                      <c:pt idx="8">
                        <c:v>Sucre et confiseries</c:v>
                      </c:pt>
                      <c:pt idx="9">
                        <c:v>Graisses et huiles</c:v>
                      </c:pt>
                      <c:pt idx="10">
                        <c:v>Autre produits</c:v>
                      </c:pt>
                    </c:strCache>
                  </c:strRef>
                </c:cat>
                <c:val>
                  <c:numRef>
                    <c:extLst>
                      <c:ext uri="{02D57815-91ED-43cb-92C2-25804820EDAC}">
                        <c15:formulaRef>
                          <c15:sqref>'Eigen berekeningen'!$C$261:$C$271</c15:sqref>
                        </c15:formulaRef>
                      </c:ext>
                    </c:extLst>
                    <c:numCache>
                      <c:formatCode>"€"\ #,##0</c:formatCode>
                      <c:ptCount val="11"/>
                      <c:pt idx="0">
                        <c:v>764.60680000000002</c:v>
                      </c:pt>
                      <c:pt idx="1">
                        <c:v>231.76589999999999</c:v>
                      </c:pt>
                      <c:pt idx="2">
                        <c:v>281.68276000000003</c:v>
                      </c:pt>
                      <c:pt idx="3">
                        <c:v>251.08395999999999</c:v>
                      </c:pt>
                      <c:pt idx="4">
                        <c:v>333.45274999999998</c:v>
                      </c:pt>
                      <c:pt idx="5">
                        <c:v>159.40067000000002</c:v>
                      </c:pt>
                      <c:pt idx="6">
                        <c:v>67.463179999999994</c:v>
                      </c:pt>
                      <c:pt idx="7">
                        <c:v>92.442700000000002</c:v>
                      </c:pt>
                      <c:pt idx="8">
                        <c:v>302.17503000000005</c:v>
                      </c:pt>
                      <c:pt idx="9">
                        <c:v>71.930729999999997</c:v>
                      </c:pt>
                      <c:pt idx="10">
                        <c:v>374.04165</c:v>
                      </c:pt>
                    </c:numCache>
                  </c:numRef>
                </c:val>
              </c15:ser>
            </c15:filteredPieSeries>
            <c15:filteredPieSeries>
              <c15:ser>
                <c:idx val="1"/>
                <c:order val="1"/>
                <c:tx>
                  <c:strRef>
                    <c:extLst xmlns:c15="http://schemas.microsoft.com/office/drawing/2012/chart">
                      <c:ext xmlns:c15="http://schemas.microsoft.com/office/drawing/2012/chart" uri="{02D57815-91ED-43cb-92C2-25804820EDAC}">
                        <c15:formulaRef>
                          <c15:sqref>'Eigen berekeningen'!$D$260</c15:sqref>
                        </c15:formulaRef>
                      </c:ext>
                    </c:extLst>
                    <c:strCache>
                      <c:ptCount val="1"/>
                      <c:pt idx="0">
                        <c:v>2003</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'Eigen berekeningen'!$B$261:$B$271</c15:sqref>
                        </c15:formulaRef>
                      </c:ext>
                    </c:extLst>
                    <c:strCache>
                      <c:ptCount val="11"/>
                      <c:pt idx="0">
                        <c:v>Produits laitiers</c:v>
                      </c:pt>
                      <c:pt idx="1">
                        <c:v>Préparations à base de fruits et légumes</c:v>
                      </c:pt>
                      <c:pt idx="2">
                        <c:v>Boissons</c:v>
                      </c:pt>
                      <c:pt idx="3">
                        <c:v>Préparations à base de céréales</c:v>
                      </c:pt>
                      <c:pt idx="4">
                        <c:v>Viande</c:v>
                      </c:pt>
                      <c:pt idx="5">
                        <c:v>Produits divers</c:v>
                      </c:pt>
                      <c:pt idx="6">
                        <c:v>Farine et orge</c:v>
                      </c:pt>
                      <c:pt idx="7">
                        <c:v>Légumes</c:v>
                      </c:pt>
                      <c:pt idx="8">
                        <c:v>Sucre et confiseries</c:v>
                      </c:pt>
                      <c:pt idx="9">
                        <c:v>Graisses et huiles</c:v>
                      </c:pt>
                      <c:pt idx="10">
                        <c:v>Autre produits</c:v>
                      </c:pt>
                    </c:strCache>
                  </c:strRef>
                </c:cat>
                <c:val>
                  <c:numRef>
                    <c:extLst xmlns:c15="http://schemas.microsoft.com/office/drawing/2012/chart">
                      <c:ext xmlns:c15="http://schemas.microsoft.com/office/drawing/2012/chart" uri="{02D57815-91ED-43cb-92C2-25804820EDAC}">
                        <c15:formulaRef>
                          <c15:sqref>'Eigen berekeningen'!$D$261:$D$271</c15:sqref>
                        </c15:formulaRef>
                      </c:ext>
                    </c:extLst>
                    <c:numCache>
                      <c:formatCode>"€"\ #,##0</c:formatCode>
                      <c:ptCount val="11"/>
                      <c:pt idx="0">
                        <c:v>716.09772999999996</c:v>
                      </c:pt>
                      <c:pt idx="1">
                        <c:v>237.46372</c:v>
                      </c:pt>
                      <c:pt idx="2">
                        <c:v>255.46410999999998</c:v>
                      </c:pt>
                      <c:pt idx="3">
                        <c:v>260.16296</c:v>
                      </c:pt>
                      <c:pt idx="4">
                        <c:v>334.83028000000002</c:v>
                      </c:pt>
                      <c:pt idx="5">
                        <c:v>167.29425000000001</c:v>
                      </c:pt>
                      <c:pt idx="6">
                        <c:v>82.598799999999997</c:v>
                      </c:pt>
                      <c:pt idx="7">
                        <c:v>98.283850000000001</c:v>
                      </c:pt>
                      <c:pt idx="8">
                        <c:v>304.31152000000003</c:v>
                      </c:pt>
                      <c:pt idx="9">
                        <c:v>79.979020000000006</c:v>
                      </c:pt>
                      <c:pt idx="10">
                        <c:v>422.14283</c:v>
                      </c:pt>
                    </c:numCache>
                  </c:numRef>
                </c:val>
              </c15:ser>
            </c15:filteredPieSeries>
            <c15:filteredPieSeries>
              <c15:ser>
                <c:idx val="2"/>
                <c:order val="2"/>
                <c:tx>
                  <c:strRef>
                    <c:extLst xmlns:c15="http://schemas.microsoft.com/office/drawing/2012/chart">
                      <c:ext xmlns:c15="http://schemas.microsoft.com/office/drawing/2012/chart" uri="{02D57815-91ED-43cb-92C2-25804820EDAC}">
                        <c15:formulaRef>
                          <c15:sqref>'Eigen berekeningen'!$E$260</c15:sqref>
                        </c15:formulaRef>
                      </c:ext>
                    </c:extLst>
                    <c:strCache>
                      <c:ptCount val="1"/>
                      <c:pt idx="0">
                        <c:v>2004</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'Eigen berekeningen'!$B$261:$B$271</c15:sqref>
                        </c15:formulaRef>
                      </c:ext>
                    </c:extLst>
                    <c:strCache>
                      <c:ptCount val="11"/>
                      <c:pt idx="0">
                        <c:v>Produits laitiers</c:v>
                      </c:pt>
                      <c:pt idx="1">
                        <c:v>Préparations à base de fruits et légumes</c:v>
                      </c:pt>
                      <c:pt idx="2">
                        <c:v>Boissons</c:v>
                      </c:pt>
                      <c:pt idx="3">
                        <c:v>Préparations à base de céréales</c:v>
                      </c:pt>
                      <c:pt idx="4">
                        <c:v>Viande</c:v>
                      </c:pt>
                      <c:pt idx="5">
                        <c:v>Produits divers</c:v>
                      </c:pt>
                      <c:pt idx="6">
                        <c:v>Farine et orge</c:v>
                      </c:pt>
                      <c:pt idx="7">
                        <c:v>Légumes</c:v>
                      </c:pt>
                      <c:pt idx="8">
                        <c:v>Sucre et confiseries</c:v>
                      </c:pt>
                      <c:pt idx="9">
                        <c:v>Graisses et huiles</c:v>
                      </c:pt>
                      <c:pt idx="10">
                        <c:v>Autre produits</c:v>
                      </c:pt>
                    </c:strCache>
                  </c:strRef>
                </c:cat>
                <c:val>
                  <c:numRef>
                    <c:extLst xmlns:c15="http://schemas.microsoft.com/office/drawing/2012/chart">
                      <c:ext xmlns:c15="http://schemas.microsoft.com/office/drawing/2012/chart" uri="{02D57815-91ED-43cb-92C2-25804820EDAC}">
                        <c15:formulaRef>
                          <c15:sqref>'Eigen berekeningen'!$E$261:$E$271</c15:sqref>
                        </c15:formulaRef>
                      </c:ext>
                    </c:extLst>
                    <c:numCache>
                      <c:formatCode>"€"\ #,##0</c:formatCode>
                      <c:ptCount val="11"/>
                      <c:pt idx="0">
                        <c:v>795.82906000000003</c:v>
                      </c:pt>
                      <c:pt idx="1">
                        <c:v>268.55521999999996</c:v>
                      </c:pt>
                      <c:pt idx="2">
                        <c:v>262.11518000000001</c:v>
                      </c:pt>
                      <c:pt idx="3">
                        <c:v>294.93846000000002</c:v>
                      </c:pt>
                      <c:pt idx="4">
                        <c:v>373.50281000000001</c:v>
                      </c:pt>
                      <c:pt idx="5">
                        <c:v>192.04148000000001</c:v>
                      </c:pt>
                      <c:pt idx="6">
                        <c:v>89.967179999999999</c:v>
                      </c:pt>
                      <c:pt idx="7">
                        <c:v>106.20849000000001</c:v>
                      </c:pt>
                      <c:pt idx="8">
                        <c:v>289.24647999999996</c:v>
                      </c:pt>
                      <c:pt idx="9">
                        <c:v>91.845009999999988</c:v>
                      </c:pt>
                      <c:pt idx="10">
                        <c:v>439.23634000000004</c:v>
                      </c:pt>
                    </c:numCache>
                  </c:numRef>
                </c:val>
              </c15:ser>
            </c15:filteredPieSeries>
            <c15:filteredPieSeries>
              <c15:ser>
                <c:idx val="3"/>
                <c:order val="3"/>
                <c:tx>
                  <c:strRef>
                    <c:extLst xmlns:c15="http://schemas.microsoft.com/office/drawing/2012/chart">
                      <c:ext xmlns:c15="http://schemas.microsoft.com/office/drawing/2012/chart" uri="{02D57815-91ED-43cb-92C2-25804820EDAC}">
                        <c15:formulaRef>
                          <c15:sqref>'Eigen berekeningen'!$F$260</c15:sqref>
                        </c15:formulaRef>
                      </c:ext>
                    </c:extLst>
                    <c:strCache>
                      <c:ptCount val="1"/>
                      <c:pt idx="0">
                        <c:v>2005</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'Eigen berekeningen'!$B$261:$B$271</c15:sqref>
                        </c15:formulaRef>
                      </c:ext>
                    </c:extLst>
                    <c:strCache>
                      <c:ptCount val="11"/>
                      <c:pt idx="0">
                        <c:v>Produits laitiers</c:v>
                      </c:pt>
                      <c:pt idx="1">
                        <c:v>Préparations à base de fruits et légumes</c:v>
                      </c:pt>
                      <c:pt idx="2">
                        <c:v>Boissons</c:v>
                      </c:pt>
                      <c:pt idx="3">
                        <c:v>Préparations à base de céréales</c:v>
                      </c:pt>
                      <c:pt idx="4">
                        <c:v>Viande</c:v>
                      </c:pt>
                      <c:pt idx="5">
                        <c:v>Produits divers</c:v>
                      </c:pt>
                      <c:pt idx="6">
                        <c:v>Farine et orge</c:v>
                      </c:pt>
                      <c:pt idx="7">
                        <c:v>Légumes</c:v>
                      </c:pt>
                      <c:pt idx="8">
                        <c:v>Sucre et confiseries</c:v>
                      </c:pt>
                      <c:pt idx="9">
                        <c:v>Graisses et huiles</c:v>
                      </c:pt>
                      <c:pt idx="10">
                        <c:v>Autre produits</c:v>
                      </c:pt>
                    </c:strCache>
                  </c:strRef>
                </c:cat>
                <c:val>
                  <c:numRef>
                    <c:extLst xmlns:c15="http://schemas.microsoft.com/office/drawing/2012/chart">
                      <c:ext xmlns:c15="http://schemas.microsoft.com/office/drawing/2012/chart" uri="{02D57815-91ED-43cb-92C2-25804820EDAC}">
                        <c15:formulaRef>
                          <c15:sqref>'Eigen berekeningen'!$F$261:$F$271</c15:sqref>
                        </c15:formulaRef>
                      </c:ext>
                    </c:extLst>
                    <c:numCache>
                      <c:formatCode>"€"\ #,##0</c:formatCode>
                      <c:ptCount val="11"/>
                      <c:pt idx="0">
                        <c:v>782.44259999999997</c:v>
                      </c:pt>
                      <c:pt idx="1">
                        <c:v>295.02921000000003</c:v>
                      </c:pt>
                      <c:pt idx="2">
                        <c:v>252.31066000000001</c:v>
                      </c:pt>
                      <c:pt idx="3">
                        <c:v>293.14666</c:v>
                      </c:pt>
                      <c:pt idx="4">
                        <c:v>401.47753999999998</c:v>
                      </c:pt>
                      <c:pt idx="5">
                        <c:v>180.16189000000003</c:v>
                      </c:pt>
                      <c:pt idx="6">
                        <c:v>106.47936</c:v>
                      </c:pt>
                      <c:pt idx="7">
                        <c:v>115.26442</c:v>
                      </c:pt>
                      <c:pt idx="8">
                        <c:v>316.74405000000002</c:v>
                      </c:pt>
                      <c:pt idx="9">
                        <c:v>81.42362</c:v>
                      </c:pt>
                      <c:pt idx="10">
                        <c:v>488.92585000000008</c:v>
                      </c:pt>
                    </c:numCache>
                  </c:numRef>
                </c:val>
              </c15:ser>
            </c15:filteredPieSeries>
            <c15:filteredPieSeries>
              <c15:ser>
                <c:idx val="4"/>
                <c:order val="4"/>
                <c:tx>
                  <c:strRef>
                    <c:extLst xmlns:c15="http://schemas.microsoft.com/office/drawing/2012/chart">
                      <c:ext xmlns:c15="http://schemas.microsoft.com/office/drawing/2012/chart" uri="{02D57815-91ED-43cb-92C2-25804820EDAC}">
                        <c15:formulaRef>
                          <c15:sqref>'Eigen berekeningen'!$G$260</c15:sqref>
                        </c15:formulaRef>
                      </c:ext>
                    </c:extLst>
                    <c:strCache>
                      <c:ptCount val="1"/>
                      <c:pt idx="0">
                        <c:v>2006</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'Eigen berekeningen'!$B$261:$B$271</c15:sqref>
                        </c15:formulaRef>
                      </c:ext>
                    </c:extLst>
                    <c:strCache>
                      <c:ptCount val="11"/>
                      <c:pt idx="0">
                        <c:v>Produits laitiers</c:v>
                      </c:pt>
                      <c:pt idx="1">
                        <c:v>Préparations à base de fruits et légumes</c:v>
                      </c:pt>
                      <c:pt idx="2">
                        <c:v>Boissons</c:v>
                      </c:pt>
                      <c:pt idx="3">
                        <c:v>Préparations à base de céréales</c:v>
                      </c:pt>
                      <c:pt idx="4">
                        <c:v>Viande</c:v>
                      </c:pt>
                      <c:pt idx="5">
                        <c:v>Produits divers</c:v>
                      </c:pt>
                      <c:pt idx="6">
                        <c:v>Farine et orge</c:v>
                      </c:pt>
                      <c:pt idx="7">
                        <c:v>Légumes</c:v>
                      </c:pt>
                      <c:pt idx="8">
                        <c:v>Sucre et confiseries</c:v>
                      </c:pt>
                      <c:pt idx="9">
                        <c:v>Graisses et huiles</c:v>
                      </c:pt>
                      <c:pt idx="10">
                        <c:v>Autre produits</c:v>
                      </c:pt>
                    </c:strCache>
                  </c:strRef>
                </c:cat>
                <c:val>
                  <c:numRef>
                    <c:extLst xmlns:c15="http://schemas.microsoft.com/office/drawing/2012/chart">
                      <c:ext xmlns:c15="http://schemas.microsoft.com/office/drawing/2012/chart" uri="{02D57815-91ED-43cb-92C2-25804820EDAC}">
                        <c15:formulaRef>
                          <c15:sqref>'Eigen berekeningen'!$G$261:$G$271</c15:sqref>
                        </c15:formulaRef>
                      </c:ext>
                    </c:extLst>
                    <c:numCache>
                      <c:formatCode>"€"\ #,##0</c:formatCode>
                      <c:ptCount val="11"/>
                      <c:pt idx="0">
                        <c:v>724.89837</c:v>
                      </c:pt>
                      <c:pt idx="1">
                        <c:v>346.93421000000001</c:v>
                      </c:pt>
                      <c:pt idx="2">
                        <c:v>243.2714</c:v>
                      </c:pt>
                      <c:pt idx="3">
                        <c:v>286.21706</c:v>
                      </c:pt>
                      <c:pt idx="4">
                        <c:v>419.09075999999999</c:v>
                      </c:pt>
                      <c:pt idx="5">
                        <c:v>187.88449</c:v>
                      </c:pt>
                      <c:pt idx="6">
                        <c:v>119.54728999999999</c:v>
                      </c:pt>
                      <c:pt idx="7">
                        <c:v>84.207170000000005</c:v>
                      </c:pt>
                      <c:pt idx="8">
                        <c:v>387.27922999999998</c:v>
                      </c:pt>
                      <c:pt idx="9">
                        <c:v>74.582549999999998</c:v>
                      </c:pt>
                      <c:pt idx="10">
                        <c:v>492.66530999999998</c:v>
                      </c:pt>
                    </c:numCache>
                  </c:numRef>
                </c:val>
              </c15:ser>
            </c15:filteredPieSeries>
            <c15:filteredPieSeries>
              <c15:ser>
                <c:idx val="5"/>
                <c:order val="5"/>
                <c:tx>
                  <c:strRef>
                    <c:extLst xmlns:c15="http://schemas.microsoft.com/office/drawing/2012/chart">
                      <c:ext xmlns:c15="http://schemas.microsoft.com/office/drawing/2012/chart" uri="{02D57815-91ED-43cb-92C2-25804820EDAC}">
                        <c15:formulaRef>
                          <c15:sqref>'Eigen berekeningen'!$H$260</c15:sqref>
                        </c15:formulaRef>
                      </c:ext>
                    </c:extLst>
                    <c:strCache>
                      <c:ptCount val="1"/>
                      <c:pt idx="0">
                        <c:v>2007</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'Eigen berekeningen'!$B$261:$B$271</c15:sqref>
                        </c15:formulaRef>
                      </c:ext>
                    </c:extLst>
                    <c:strCache>
                      <c:ptCount val="11"/>
                      <c:pt idx="0">
                        <c:v>Produits laitiers</c:v>
                      </c:pt>
                      <c:pt idx="1">
                        <c:v>Préparations à base de fruits et légumes</c:v>
                      </c:pt>
                      <c:pt idx="2">
                        <c:v>Boissons</c:v>
                      </c:pt>
                      <c:pt idx="3">
                        <c:v>Préparations à base de céréales</c:v>
                      </c:pt>
                      <c:pt idx="4">
                        <c:v>Viande</c:v>
                      </c:pt>
                      <c:pt idx="5">
                        <c:v>Produits divers</c:v>
                      </c:pt>
                      <c:pt idx="6">
                        <c:v>Farine et orge</c:v>
                      </c:pt>
                      <c:pt idx="7">
                        <c:v>Légumes</c:v>
                      </c:pt>
                      <c:pt idx="8">
                        <c:v>Sucre et confiseries</c:v>
                      </c:pt>
                      <c:pt idx="9">
                        <c:v>Graisses et huiles</c:v>
                      </c:pt>
                      <c:pt idx="10">
                        <c:v>Autre produits</c:v>
                      </c:pt>
                    </c:strCache>
                  </c:strRef>
                </c:cat>
                <c:val>
                  <c:numRef>
                    <c:extLst xmlns:c15="http://schemas.microsoft.com/office/drawing/2012/chart">
                      <c:ext xmlns:c15="http://schemas.microsoft.com/office/drawing/2012/chart" uri="{02D57815-91ED-43cb-92C2-25804820EDAC}">
                        <c15:formulaRef>
                          <c15:sqref>'Eigen berekeningen'!$H$261:$H$271</c15:sqref>
                        </c15:formulaRef>
                      </c:ext>
                    </c:extLst>
                    <c:numCache>
                      <c:formatCode>"€"\ #,##0</c:formatCode>
                      <c:ptCount val="11"/>
                      <c:pt idx="0">
                        <c:v>927.50959</c:v>
                      </c:pt>
                      <c:pt idx="1">
                        <c:v>411.73701</c:v>
                      </c:pt>
                      <c:pt idx="2">
                        <c:v>262.90297999999996</c:v>
                      </c:pt>
                      <c:pt idx="3">
                        <c:v>273.26092999999997</c:v>
                      </c:pt>
                      <c:pt idx="4">
                        <c:v>384.33704999999998</c:v>
                      </c:pt>
                      <c:pt idx="5">
                        <c:v>188.62798999999998</c:v>
                      </c:pt>
                      <c:pt idx="6">
                        <c:v>130.19605000000001</c:v>
                      </c:pt>
                      <c:pt idx="7">
                        <c:v>97.453440000000001</c:v>
                      </c:pt>
                      <c:pt idx="8">
                        <c:v>270.27401000000003</c:v>
                      </c:pt>
                      <c:pt idx="9">
                        <c:v>87.466800000000006</c:v>
                      </c:pt>
                      <c:pt idx="10">
                        <c:v>497.23534000000001</c:v>
                      </c:pt>
                    </c:numCache>
                  </c:numRef>
                </c:val>
              </c15:ser>
            </c15:filteredPieSeries>
            <c15:filteredPieSeries>
              <c15:ser>
                <c:idx val="6"/>
                <c:order val="6"/>
                <c:tx>
                  <c:strRef>
                    <c:extLst xmlns:c15="http://schemas.microsoft.com/office/drawing/2012/chart">
                      <c:ext xmlns:c15="http://schemas.microsoft.com/office/drawing/2012/chart" uri="{02D57815-91ED-43cb-92C2-25804820EDAC}">
                        <c15:formulaRef>
                          <c15:sqref>'Eigen berekeningen'!$I$260</c15:sqref>
                        </c15:formulaRef>
                      </c:ext>
                    </c:extLst>
                    <c:strCache>
                      <c:ptCount val="1"/>
                      <c:pt idx="0">
                        <c:v>2008</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'Eigen berekeningen'!$B$261:$B$271</c15:sqref>
                        </c15:formulaRef>
                      </c:ext>
                    </c:extLst>
                    <c:strCache>
                      <c:ptCount val="11"/>
                      <c:pt idx="0">
                        <c:v>Produits laitiers</c:v>
                      </c:pt>
                      <c:pt idx="1">
                        <c:v>Préparations à base de fruits et légumes</c:v>
                      </c:pt>
                      <c:pt idx="2">
                        <c:v>Boissons</c:v>
                      </c:pt>
                      <c:pt idx="3">
                        <c:v>Préparations à base de céréales</c:v>
                      </c:pt>
                      <c:pt idx="4">
                        <c:v>Viande</c:v>
                      </c:pt>
                      <c:pt idx="5">
                        <c:v>Produits divers</c:v>
                      </c:pt>
                      <c:pt idx="6">
                        <c:v>Farine et orge</c:v>
                      </c:pt>
                      <c:pt idx="7">
                        <c:v>Légumes</c:v>
                      </c:pt>
                      <c:pt idx="8">
                        <c:v>Sucre et confiseries</c:v>
                      </c:pt>
                      <c:pt idx="9">
                        <c:v>Graisses et huiles</c:v>
                      </c:pt>
                      <c:pt idx="10">
                        <c:v>Autre produits</c:v>
                      </c:pt>
                    </c:strCache>
                  </c:strRef>
                </c:cat>
                <c:val>
                  <c:numRef>
                    <c:extLst xmlns:c15="http://schemas.microsoft.com/office/drawing/2012/chart">
                      <c:ext xmlns:c15="http://schemas.microsoft.com/office/drawing/2012/chart" uri="{02D57815-91ED-43cb-92C2-25804820EDAC}">
                        <c15:formulaRef>
                          <c15:sqref>'Eigen berekeningen'!$I$261:$I$271</c15:sqref>
                        </c15:formulaRef>
                      </c:ext>
                    </c:extLst>
                    <c:numCache>
                      <c:formatCode>"€"\ #,##0</c:formatCode>
                      <c:ptCount val="11"/>
                      <c:pt idx="0">
                        <c:v>874.67769999999996</c:v>
                      </c:pt>
                      <c:pt idx="1">
                        <c:v>467.80192</c:v>
                      </c:pt>
                      <c:pt idx="2">
                        <c:v>273.45494000000002</c:v>
                      </c:pt>
                      <c:pt idx="3">
                        <c:v>327.70695000000001</c:v>
                      </c:pt>
                      <c:pt idx="4">
                        <c:v>434.47237999999999</c:v>
                      </c:pt>
                      <c:pt idx="5">
                        <c:v>183.05560999999997</c:v>
                      </c:pt>
                      <c:pt idx="6">
                        <c:v>127.43695</c:v>
                      </c:pt>
                      <c:pt idx="7">
                        <c:v>102.86019</c:v>
                      </c:pt>
                      <c:pt idx="8">
                        <c:v>243.661</c:v>
                      </c:pt>
                      <c:pt idx="9">
                        <c:v>106.68833000000001</c:v>
                      </c:pt>
                      <c:pt idx="10">
                        <c:v>472.09575999999998</c:v>
                      </c:pt>
                    </c:numCache>
                  </c:numRef>
                </c:val>
              </c15:ser>
            </c15:filteredPieSeries>
            <c15:filteredPieSeries>
              <c15:ser>
                <c:idx val="7"/>
                <c:order val="7"/>
                <c:tx>
                  <c:strRef>
                    <c:extLst xmlns:c15="http://schemas.microsoft.com/office/drawing/2012/chart">
                      <c:ext xmlns:c15="http://schemas.microsoft.com/office/drawing/2012/chart" uri="{02D57815-91ED-43cb-92C2-25804820EDAC}">
                        <c15:formulaRef>
                          <c15:sqref>'Eigen berekeningen'!$J$260</c15:sqref>
                        </c15:formulaRef>
                      </c:ext>
                    </c:extLst>
                    <c:strCache>
                      <c:ptCount val="1"/>
                      <c:pt idx="0">
                        <c:v>2009</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'Eigen berekeningen'!$B$261:$B$271</c15:sqref>
                        </c15:formulaRef>
                      </c:ext>
                    </c:extLst>
                    <c:strCache>
                      <c:ptCount val="11"/>
                      <c:pt idx="0">
                        <c:v>Produits laitiers</c:v>
                      </c:pt>
                      <c:pt idx="1">
                        <c:v>Préparations à base de fruits et légumes</c:v>
                      </c:pt>
                      <c:pt idx="2">
                        <c:v>Boissons</c:v>
                      </c:pt>
                      <c:pt idx="3">
                        <c:v>Préparations à base de céréales</c:v>
                      </c:pt>
                      <c:pt idx="4">
                        <c:v>Viande</c:v>
                      </c:pt>
                      <c:pt idx="5">
                        <c:v>Produits divers</c:v>
                      </c:pt>
                      <c:pt idx="6">
                        <c:v>Farine et orge</c:v>
                      </c:pt>
                      <c:pt idx="7">
                        <c:v>Légumes</c:v>
                      </c:pt>
                      <c:pt idx="8">
                        <c:v>Sucre et confiseries</c:v>
                      </c:pt>
                      <c:pt idx="9">
                        <c:v>Graisses et huiles</c:v>
                      </c:pt>
                      <c:pt idx="10">
                        <c:v>Autre produits</c:v>
                      </c:pt>
                    </c:strCache>
                  </c:strRef>
                </c:cat>
                <c:val>
                  <c:numRef>
                    <c:extLst xmlns:c15="http://schemas.microsoft.com/office/drawing/2012/chart">
                      <c:ext xmlns:c15="http://schemas.microsoft.com/office/drawing/2012/chart" uri="{02D57815-91ED-43cb-92C2-25804820EDAC}">
                        <c15:formulaRef>
                          <c15:sqref>'Eigen berekeningen'!$J$261:$J$271</c15:sqref>
                        </c15:formulaRef>
                      </c:ext>
                    </c:extLst>
                    <c:numCache>
                      <c:formatCode>"€"\ #,##0</c:formatCode>
                      <c:ptCount val="11"/>
                      <c:pt idx="0">
                        <c:v>753.10762</c:v>
                      </c:pt>
                      <c:pt idx="1">
                        <c:v>524.73643000000004</c:v>
                      </c:pt>
                      <c:pt idx="2">
                        <c:v>280.43889000000001</c:v>
                      </c:pt>
                      <c:pt idx="3">
                        <c:v>320.64461</c:v>
                      </c:pt>
                      <c:pt idx="4">
                        <c:v>425.32623000000001</c:v>
                      </c:pt>
                      <c:pt idx="5">
                        <c:v>176.53839000000002</c:v>
                      </c:pt>
                      <c:pt idx="6">
                        <c:v>132.76654000000002</c:v>
                      </c:pt>
                      <c:pt idx="7">
                        <c:v>94.032440000000008</c:v>
                      </c:pt>
                      <c:pt idx="8">
                        <c:v>213.29748000000001</c:v>
                      </c:pt>
                      <c:pt idx="9">
                        <c:v>94.102860000000007</c:v>
                      </c:pt>
                      <c:pt idx="10">
                        <c:v>421.03505000000001</c:v>
                      </c:pt>
                    </c:numCache>
                  </c:numRef>
                </c:val>
              </c15:ser>
            </c15:filteredPieSeries>
            <c15:filteredPieSeries>
              <c15:ser>
                <c:idx val="8"/>
                <c:order val="8"/>
                <c:tx>
                  <c:strRef>
                    <c:extLst xmlns:c15="http://schemas.microsoft.com/office/drawing/2012/chart">
                      <c:ext xmlns:c15="http://schemas.microsoft.com/office/drawing/2012/chart" uri="{02D57815-91ED-43cb-92C2-25804820EDAC}">
                        <c15:formulaRef>
                          <c15:sqref>'Eigen berekeningen'!$K$260</c15:sqref>
                        </c15:formulaRef>
                      </c:ext>
                    </c:extLst>
                    <c:strCache>
                      <c:ptCount val="1"/>
                      <c:pt idx="0">
                        <c:v>2010</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'Eigen berekeningen'!$B$261:$B$271</c15:sqref>
                        </c15:formulaRef>
                      </c:ext>
                    </c:extLst>
                    <c:strCache>
                      <c:ptCount val="11"/>
                      <c:pt idx="0">
                        <c:v>Produits laitiers</c:v>
                      </c:pt>
                      <c:pt idx="1">
                        <c:v>Préparations à base de fruits et légumes</c:v>
                      </c:pt>
                      <c:pt idx="2">
                        <c:v>Boissons</c:v>
                      </c:pt>
                      <c:pt idx="3">
                        <c:v>Préparations à base de céréales</c:v>
                      </c:pt>
                      <c:pt idx="4">
                        <c:v>Viande</c:v>
                      </c:pt>
                      <c:pt idx="5">
                        <c:v>Produits divers</c:v>
                      </c:pt>
                      <c:pt idx="6">
                        <c:v>Farine et orge</c:v>
                      </c:pt>
                      <c:pt idx="7">
                        <c:v>Légumes</c:v>
                      </c:pt>
                      <c:pt idx="8">
                        <c:v>Sucre et confiseries</c:v>
                      </c:pt>
                      <c:pt idx="9">
                        <c:v>Graisses et huiles</c:v>
                      </c:pt>
                      <c:pt idx="10">
                        <c:v>Autre produits</c:v>
                      </c:pt>
                    </c:strCache>
                  </c:strRef>
                </c:cat>
                <c:val>
                  <c:numRef>
                    <c:extLst xmlns:c15="http://schemas.microsoft.com/office/drawing/2012/chart">
                      <c:ext xmlns:c15="http://schemas.microsoft.com/office/drawing/2012/chart" uri="{02D57815-91ED-43cb-92C2-25804820EDAC}">
                        <c15:formulaRef>
                          <c15:sqref>'Eigen berekeningen'!$K$261:$K$271</c15:sqref>
                        </c15:formulaRef>
                      </c:ext>
                    </c:extLst>
                    <c:numCache>
                      <c:formatCode>"€"\ #,##0</c:formatCode>
                      <c:ptCount val="11"/>
                      <c:pt idx="0">
                        <c:v>882.50359348000006</c:v>
                      </c:pt>
                      <c:pt idx="1">
                        <c:v>489.96013520999998</c:v>
                      </c:pt>
                      <c:pt idx="2">
                        <c:v>328.73302748999998</c:v>
                      </c:pt>
                      <c:pt idx="3">
                        <c:v>295.57545057999999</c:v>
                      </c:pt>
                      <c:pt idx="4">
                        <c:v>458.59071733999997</c:v>
                      </c:pt>
                      <c:pt idx="5">
                        <c:v>199.09739669999999</c:v>
                      </c:pt>
                      <c:pt idx="6">
                        <c:v>140.91552195</c:v>
                      </c:pt>
                      <c:pt idx="7">
                        <c:v>189.78172828000001</c:v>
                      </c:pt>
                      <c:pt idx="8">
                        <c:v>253.39993837000003</c:v>
                      </c:pt>
                      <c:pt idx="9">
                        <c:v>82.343666810000002</c:v>
                      </c:pt>
                      <c:pt idx="10">
                        <c:v>431.91523862999998</c:v>
                      </c:pt>
                    </c:numCache>
                  </c:numRef>
                </c:val>
              </c15:ser>
            </c15:filteredPieSeries>
            <c15:filteredPieSeries>
              <c15:ser>
                <c:idx val="9"/>
                <c:order val="9"/>
                <c:tx>
                  <c:strRef>
                    <c:extLst xmlns:c15="http://schemas.microsoft.com/office/drawing/2012/chart">
                      <c:ext xmlns:c15="http://schemas.microsoft.com/office/drawing/2012/chart" uri="{02D57815-91ED-43cb-92C2-25804820EDAC}">
                        <c15:formulaRef>
                          <c15:sqref>'Eigen berekeningen'!$L$260</c15:sqref>
                        </c15:formulaRef>
                      </c:ext>
                    </c:extLst>
                    <c:strCache>
                      <c:ptCount val="1"/>
                      <c:pt idx="0">
                        <c:v>2011</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'Eigen berekeningen'!$B$261:$B$271</c15:sqref>
                        </c15:formulaRef>
                      </c:ext>
                    </c:extLst>
                    <c:strCache>
                      <c:ptCount val="11"/>
                      <c:pt idx="0">
                        <c:v>Produits laitiers</c:v>
                      </c:pt>
                      <c:pt idx="1">
                        <c:v>Préparations à base de fruits et légumes</c:v>
                      </c:pt>
                      <c:pt idx="2">
                        <c:v>Boissons</c:v>
                      </c:pt>
                      <c:pt idx="3">
                        <c:v>Préparations à base de céréales</c:v>
                      </c:pt>
                      <c:pt idx="4">
                        <c:v>Viande</c:v>
                      </c:pt>
                      <c:pt idx="5">
                        <c:v>Produits divers</c:v>
                      </c:pt>
                      <c:pt idx="6">
                        <c:v>Farine et orge</c:v>
                      </c:pt>
                      <c:pt idx="7">
                        <c:v>Légumes</c:v>
                      </c:pt>
                      <c:pt idx="8">
                        <c:v>Sucre et confiseries</c:v>
                      </c:pt>
                      <c:pt idx="9">
                        <c:v>Graisses et huiles</c:v>
                      </c:pt>
                      <c:pt idx="10">
                        <c:v>Autre produits</c:v>
                      </c:pt>
                    </c:strCache>
                  </c:strRef>
                </c:cat>
                <c:val>
                  <c:numRef>
                    <c:extLst xmlns:c15="http://schemas.microsoft.com/office/drawing/2012/chart">
                      <c:ext xmlns:c15="http://schemas.microsoft.com/office/drawing/2012/chart" uri="{02D57815-91ED-43cb-92C2-25804820EDAC}">
                        <c15:formulaRef>
                          <c15:sqref>'Eigen berekeningen'!$L$261:$L$271</c15:sqref>
                        </c15:formulaRef>
                      </c:ext>
                    </c:extLst>
                    <c:numCache>
                      <c:formatCode>"€"\ #,##0</c:formatCode>
                      <c:ptCount val="11"/>
                      <c:pt idx="0">
                        <c:v>1000.64839485</c:v>
                      </c:pt>
                      <c:pt idx="1">
                        <c:v>468.18053342000002</c:v>
                      </c:pt>
                      <c:pt idx="2">
                        <c:v>406.25190113000002</c:v>
                      </c:pt>
                      <c:pt idx="3">
                        <c:v>342.37237473000005</c:v>
                      </c:pt>
                      <c:pt idx="4">
                        <c:v>446.78602615</c:v>
                      </c:pt>
                      <c:pt idx="5">
                        <c:v>229.99568244</c:v>
                      </c:pt>
                      <c:pt idx="6">
                        <c:v>135.55959181</c:v>
                      </c:pt>
                      <c:pt idx="7">
                        <c:v>188.1357879</c:v>
                      </c:pt>
                      <c:pt idx="8">
                        <c:v>247.75609847999999</c:v>
                      </c:pt>
                      <c:pt idx="9">
                        <c:v>102.57596445999999</c:v>
                      </c:pt>
                      <c:pt idx="10">
                        <c:v>463.8646799899999</c:v>
                      </c:pt>
                    </c:numCache>
                  </c:numRef>
                </c:val>
              </c15:ser>
            </c15:filteredPieSeries>
            <c15:filteredPieSeries>
              <c15:ser>
                <c:idx val="10"/>
                <c:order val="10"/>
                <c:tx>
                  <c:strRef>
                    <c:extLst xmlns:c15="http://schemas.microsoft.com/office/drawing/2012/chart">
                      <c:ext xmlns:c15="http://schemas.microsoft.com/office/drawing/2012/chart" uri="{02D57815-91ED-43cb-92C2-25804820EDAC}">
                        <c15:formulaRef>
                          <c15:sqref>'Eigen berekeningen'!$M$260</c15:sqref>
                        </c15:formulaRef>
                      </c:ext>
                    </c:extLst>
                    <c:strCache>
                      <c:ptCount val="1"/>
                      <c:pt idx="0">
                        <c:v>2012</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'Eigen berekeningen'!$B$261:$B$271</c15:sqref>
                        </c15:formulaRef>
                      </c:ext>
                    </c:extLst>
                    <c:strCache>
                      <c:ptCount val="11"/>
                      <c:pt idx="0">
                        <c:v>Produits laitiers</c:v>
                      </c:pt>
                      <c:pt idx="1">
                        <c:v>Préparations à base de fruits et légumes</c:v>
                      </c:pt>
                      <c:pt idx="2">
                        <c:v>Boissons</c:v>
                      </c:pt>
                      <c:pt idx="3">
                        <c:v>Préparations à base de céréales</c:v>
                      </c:pt>
                      <c:pt idx="4">
                        <c:v>Viande</c:v>
                      </c:pt>
                      <c:pt idx="5">
                        <c:v>Produits divers</c:v>
                      </c:pt>
                      <c:pt idx="6">
                        <c:v>Farine et orge</c:v>
                      </c:pt>
                      <c:pt idx="7">
                        <c:v>Légumes</c:v>
                      </c:pt>
                      <c:pt idx="8">
                        <c:v>Sucre et confiseries</c:v>
                      </c:pt>
                      <c:pt idx="9">
                        <c:v>Graisses et huiles</c:v>
                      </c:pt>
                      <c:pt idx="10">
                        <c:v>Autre produits</c:v>
                      </c:pt>
                    </c:strCache>
                  </c:strRef>
                </c:cat>
                <c:val>
                  <c:numRef>
                    <c:extLst xmlns:c15="http://schemas.microsoft.com/office/drawing/2012/chart">
                      <c:ext xmlns:c15="http://schemas.microsoft.com/office/drawing/2012/chart" uri="{02D57815-91ED-43cb-92C2-25804820EDAC}">
                        <c15:formulaRef>
                          <c15:sqref>'Eigen berekeningen'!$M$261:$M$271</c15:sqref>
                        </c15:formulaRef>
                      </c:ext>
                    </c:extLst>
                    <c:numCache>
                      <c:formatCode>"€"\ #,##0</c:formatCode>
                      <c:ptCount val="11"/>
                      <c:pt idx="0">
                        <c:v>963.02405140999997</c:v>
                      </c:pt>
                      <c:pt idx="1">
                        <c:v>537.61856738999995</c:v>
                      </c:pt>
                      <c:pt idx="2">
                        <c:v>405.23273014999995</c:v>
                      </c:pt>
                      <c:pt idx="3">
                        <c:v>378.88080630000002</c:v>
                      </c:pt>
                      <c:pt idx="4">
                        <c:v>403.48977303999999</c:v>
                      </c:pt>
                      <c:pt idx="5">
                        <c:v>244.64347906</c:v>
                      </c:pt>
                      <c:pt idx="6">
                        <c:v>143.14643491000001</c:v>
                      </c:pt>
                      <c:pt idx="7">
                        <c:v>251.05800939</c:v>
                      </c:pt>
                      <c:pt idx="8">
                        <c:v>274.95801899000003</c:v>
                      </c:pt>
                      <c:pt idx="9">
                        <c:v>113.06062528000001</c:v>
                      </c:pt>
                      <c:pt idx="10">
                        <c:v>466.15864862000001</c:v>
                      </c:pt>
                    </c:numCache>
                  </c:numRef>
                </c:val>
              </c15:ser>
            </c15:filteredPieSeries>
            <c15:filteredPieSeries>
              <c15:ser>
                <c:idx val="11"/>
                <c:order val="11"/>
                <c:tx>
                  <c:strRef>
                    <c:extLst xmlns:c15="http://schemas.microsoft.com/office/drawing/2012/chart">
                      <c:ext xmlns:c15="http://schemas.microsoft.com/office/drawing/2012/chart" uri="{02D57815-91ED-43cb-92C2-25804820EDAC}">
                        <c15:formulaRef>
                          <c15:sqref>'Eigen berekeningen'!$N$260</c15:sqref>
                        </c15:formulaRef>
                      </c:ext>
                    </c:extLst>
                    <c:strCache>
                      <c:ptCount val="1"/>
                      <c:pt idx="0">
                        <c:v>2013</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'Eigen berekeningen'!$B$261:$B$271</c15:sqref>
                        </c15:formulaRef>
                      </c:ext>
                    </c:extLst>
                    <c:strCache>
                      <c:ptCount val="11"/>
                      <c:pt idx="0">
                        <c:v>Produits laitiers</c:v>
                      </c:pt>
                      <c:pt idx="1">
                        <c:v>Préparations à base de fruits et légumes</c:v>
                      </c:pt>
                      <c:pt idx="2">
                        <c:v>Boissons</c:v>
                      </c:pt>
                      <c:pt idx="3">
                        <c:v>Préparations à base de céréales</c:v>
                      </c:pt>
                      <c:pt idx="4">
                        <c:v>Viande</c:v>
                      </c:pt>
                      <c:pt idx="5">
                        <c:v>Produits divers</c:v>
                      </c:pt>
                      <c:pt idx="6">
                        <c:v>Farine et orge</c:v>
                      </c:pt>
                      <c:pt idx="7">
                        <c:v>Légumes</c:v>
                      </c:pt>
                      <c:pt idx="8">
                        <c:v>Sucre et confiseries</c:v>
                      </c:pt>
                      <c:pt idx="9">
                        <c:v>Graisses et huiles</c:v>
                      </c:pt>
                      <c:pt idx="10">
                        <c:v>Autre produits</c:v>
                      </c:pt>
                    </c:strCache>
                  </c:strRef>
                </c:cat>
                <c:val>
                  <c:numRef>
                    <c:extLst xmlns:c15="http://schemas.microsoft.com/office/drawing/2012/chart">
                      <c:ext xmlns:c15="http://schemas.microsoft.com/office/drawing/2012/chart" uri="{02D57815-91ED-43cb-92C2-25804820EDAC}">
                        <c15:formulaRef>
                          <c15:sqref>'Eigen berekeningen'!$N$261:$N$271</c15:sqref>
                        </c15:formulaRef>
                      </c:ext>
                    </c:extLst>
                    <c:numCache>
                      <c:formatCode>"€"\ #,##0</c:formatCode>
                      <c:ptCount val="11"/>
                      <c:pt idx="0">
                        <c:v>1109.9590125299999</c:v>
                      </c:pt>
                      <c:pt idx="1">
                        <c:v>604.05486518999999</c:v>
                      </c:pt>
                      <c:pt idx="2">
                        <c:v>420.17878551000001</c:v>
                      </c:pt>
                      <c:pt idx="3">
                        <c:v>378.04825750000003</c:v>
                      </c:pt>
                      <c:pt idx="4">
                        <c:v>373.27987818000003</c:v>
                      </c:pt>
                      <c:pt idx="5">
                        <c:v>236.71666188999998</c:v>
                      </c:pt>
                      <c:pt idx="6">
                        <c:v>137.38537855000001</c:v>
                      </c:pt>
                      <c:pt idx="7">
                        <c:v>201.99054538999999</c:v>
                      </c:pt>
                      <c:pt idx="8">
                        <c:v>213.84131172999997</c:v>
                      </c:pt>
                      <c:pt idx="9">
                        <c:v>113.45775022000001</c:v>
                      </c:pt>
                      <c:pt idx="10">
                        <c:v>344.68158091999999</c:v>
                      </c:pt>
                    </c:numCache>
                  </c:numRef>
                </c:val>
              </c15:ser>
            </c15:filteredPieSeries>
          </c:ext>
        </c:extLst>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nl-BE" sz="1000" b="1" i="0" baseline="0">
                <a:effectLst/>
              </a:rPr>
              <a:t>Figure 2 : Croissance annuelle du chiffre d'affaires en Wallonie et les pays voisins </a:t>
            </a:r>
            <a:endParaRPr lang="en-US" sz="1000">
              <a:effectLst/>
            </a:endParaRPr>
          </a:p>
          <a:p>
            <a:pPr>
              <a:defRPr sz="1000"/>
            </a:pPr>
            <a:r>
              <a:rPr lang="nl-BE" sz="1000" b="1" i="0" baseline="0">
                <a:effectLst/>
              </a:rPr>
              <a:t>(index 2008=100)</a:t>
            </a:r>
            <a:endParaRPr lang="en-US" sz="1000">
              <a:effectLst/>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lineChart>
        <c:grouping val="standard"/>
        <c:varyColors val="0"/>
        <c:ser>
          <c:idx val="0"/>
          <c:order val="0"/>
          <c:tx>
            <c:strRef>
              <c:f>'Eigen berekeningen'!$B$29</c:f>
              <c:strCache>
                <c:ptCount val="1"/>
                <c:pt idx="0">
                  <c:v>Wallonie</c:v>
                </c:pt>
              </c:strCache>
            </c:strRef>
          </c:tx>
          <c:spPr>
            <a:ln w="28575" cap="rnd">
              <a:solidFill>
                <a:schemeClr val="accent1"/>
              </a:solidFill>
              <a:round/>
            </a:ln>
            <a:effectLst/>
          </c:spPr>
          <c:marker>
            <c:symbol val="none"/>
          </c:marker>
          <c:dPt>
            <c:idx val="6"/>
            <c:marker>
              <c:symbol val="none"/>
            </c:marker>
            <c:bubble3D val="0"/>
            <c:spPr>
              <a:ln w="28575" cap="rnd">
                <a:solidFill>
                  <a:schemeClr val="accent1"/>
                </a:solidFill>
                <a:prstDash val="sysDash"/>
                <a:round/>
              </a:ln>
              <a:effectLst/>
            </c:spPr>
          </c:dPt>
          <c:cat>
            <c:strRef>
              <c:f>'Eigen berekeningen'!$C$28:$I$28</c:f>
              <c:strCache>
                <c:ptCount val="7"/>
                <c:pt idx="0">
                  <c:v>2008</c:v>
                </c:pt>
                <c:pt idx="1">
                  <c:v>2009</c:v>
                </c:pt>
                <c:pt idx="2">
                  <c:v>2010</c:v>
                </c:pt>
                <c:pt idx="3">
                  <c:v>2011</c:v>
                </c:pt>
                <c:pt idx="4">
                  <c:v>2012</c:v>
                </c:pt>
                <c:pt idx="5">
                  <c:v>2013</c:v>
                </c:pt>
                <c:pt idx="6">
                  <c:v>2014</c:v>
                </c:pt>
              </c:strCache>
            </c:strRef>
          </c:cat>
          <c:val>
            <c:numRef>
              <c:f>'Eigen berekeningen'!$C$29:$I$29</c:f>
              <c:numCache>
                <c:formatCode>#,##0.00</c:formatCode>
                <c:ptCount val="7"/>
                <c:pt idx="0">
                  <c:v>100</c:v>
                </c:pt>
                <c:pt idx="1">
                  <c:v>95.871997656177939</c:v>
                </c:pt>
                <c:pt idx="2">
                  <c:v>99.509518461517132</c:v>
                </c:pt>
                <c:pt idx="3">
                  <c:v>107.70423493520629</c:v>
                </c:pt>
                <c:pt idx="4">
                  <c:v>113.15689159843079</c:v>
                </c:pt>
                <c:pt idx="5">
                  <c:v>111.4724151796237</c:v>
                </c:pt>
                <c:pt idx="6">
                  <c:v>123.32780155923557</c:v>
                </c:pt>
              </c:numCache>
            </c:numRef>
          </c:val>
          <c:smooth val="0"/>
        </c:ser>
        <c:ser>
          <c:idx val="1"/>
          <c:order val="1"/>
          <c:tx>
            <c:strRef>
              <c:f>'Eigen berekeningen'!$B$30</c:f>
              <c:strCache>
                <c:ptCount val="1"/>
                <c:pt idx="0">
                  <c:v>Allemagne</c:v>
                </c:pt>
              </c:strCache>
            </c:strRef>
          </c:tx>
          <c:spPr>
            <a:ln w="28575" cap="rnd">
              <a:solidFill>
                <a:schemeClr val="accent2"/>
              </a:solidFill>
              <a:round/>
            </a:ln>
            <a:effectLst/>
          </c:spPr>
          <c:marker>
            <c:symbol val="none"/>
          </c:marker>
          <c:cat>
            <c:strRef>
              <c:f>'Eigen berekeningen'!$C$28:$I$28</c:f>
              <c:strCache>
                <c:ptCount val="7"/>
                <c:pt idx="0">
                  <c:v>2008</c:v>
                </c:pt>
                <c:pt idx="1">
                  <c:v>2009</c:v>
                </c:pt>
                <c:pt idx="2">
                  <c:v>2010</c:v>
                </c:pt>
                <c:pt idx="3">
                  <c:v>2011</c:v>
                </c:pt>
                <c:pt idx="4">
                  <c:v>2012</c:v>
                </c:pt>
                <c:pt idx="5">
                  <c:v>2013</c:v>
                </c:pt>
                <c:pt idx="6">
                  <c:v>2014</c:v>
                </c:pt>
              </c:strCache>
            </c:strRef>
          </c:cat>
          <c:val>
            <c:numRef>
              <c:f>'Eigen berekeningen'!$C$30:$I$30</c:f>
              <c:numCache>
                <c:formatCode>#,##0.00</c:formatCode>
                <c:ptCount val="7"/>
                <c:pt idx="0">
                  <c:v>100</c:v>
                </c:pt>
                <c:pt idx="1">
                  <c:v>94.051126104722982</c:v>
                </c:pt>
                <c:pt idx="2">
                  <c:v>95.039437422788183</c:v>
                </c:pt>
                <c:pt idx="3">
                  <c:v>103.23101777059773</c:v>
                </c:pt>
                <c:pt idx="4">
                  <c:v>107.41233488548893</c:v>
                </c:pt>
                <c:pt idx="5">
                  <c:v>110.05416706262471</c:v>
                </c:pt>
                <c:pt idx="6">
                  <c:v>109.05635275111661</c:v>
                </c:pt>
              </c:numCache>
            </c:numRef>
          </c:val>
          <c:smooth val="0"/>
        </c:ser>
        <c:ser>
          <c:idx val="2"/>
          <c:order val="2"/>
          <c:tx>
            <c:strRef>
              <c:f>'Eigen berekeningen'!$B$31</c:f>
              <c:strCache>
                <c:ptCount val="1"/>
                <c:pt idx="0">
                  <c:v>France</c:v>
                </c:pt>
              </c:strCache>
            </c:strRef>
          </c:tx>
          <c:spPr>
            <a:ln w="28575" cap="rnd">
              <a:solidFill>
                <a:schemeClr val="accent3"/>
              </a:solidFill>
              <a:round/>
            </a:ln>
            <a:effectLst/>
          </c:spPr>
          <c:marker>
            <c:symbol val="none"/>
          </c:marker>
          <c:cat>
            <c:strRef>
              <c:f>'Eigen berekeningen'!$C$28:$I$28</c:f>
              <c:strCache>
                <c:ptCount val="7"/>
                <c:pt idx="0">
                  <c:v>2008</c:v>
                </c:pt>
                <c:pt idx="1">
                  <c:v>2009</c:v>
                </c:pt>
                <c:pt idx="2">
                  <c:v>2010</c:v>
                </c:pt>
                <c:pt idx="3">
                  <c:v>2011</c:v>
                </c:pt>
                <c:pt idx="4">
                  <c:v>2012</c:v>
                </c:pt>
                <c:pt idx="5">
                  <c:v>2013</c:v>
                </c:pt>
                <c:pt idx="6">
                  <c:v>2014</c:v>
                </c:pt>
              </c:strCache>
            </c:strRef>
          </c:cat>
          <c:val>
            <c:numRef>
              <c:f>'Eigen berekeningen'!$C$31:$I$31</c:f>
              <c:numCache>
                <c:formatCode>#,##0.00</c:formatCode>
                <c:ptCount val="7"/>
                <c:pt idx="0">
                  <c:v>100</c:v>
                </c:pt>
                <c:pt idx="1">
                  <c:v>92.709435414061744</c:v>
                </c:pt>
                <c:pt idx="2">
                  <c:v>96.181590843512552</c:v>
                </c:pt>
                <c:pt idx="3">
                  <c:v>103.68375492930653</c:v>
                </c:pt>
                <c:pt idx="4">
                  <c:v>107.01163797249207</c:v>
                </c:pt>
                <c:pt idx="5">
                  <c:v>109.45465037991728</c:v>
                </c:pt>
                <c:pt idx="6">
                  <c:v>110.48379340194288</c:v>
                </c:pt>
              </c:numCache>
            </c:numRef>
          </c:val>
          <c:smooth val="0"/>
        </c:ser>
        <c:ser>
          <c:idx val="3"/>
          <c:order val="3"/>
          <c:tx>
            <c:strRef>
              <c:f>'Eigen berekeningen'!$B$32</c:f>
              <c:strCache>
                <c:ptCount val="1"/>
                <c:pt idx="0">
                  <c:v>Pays-bas</c:v>
                </c:pt>
              </c:strCache>
            </c:strRef>
          </c:tx>
          <c:spPr>
            <a:ln w="28575" cap="rnd">
              <a:solidFill>
                <a:schemeClr val="accent4"/>
              </a:solidFill>
              <a:round/>
            </a:ln>
            <a:effectLst/>
          </c:spPr>
          <c:marker>
            <c:symbol val="none"/>
          </c:marker>
          <c:cat>
            <c:strRef>
              <c:f>'Eigen berekeningen'!$C$28:$I$28</c:f>
              <c:strCache>
                <c:ptCount val="7"/>
                <c:pt idx="0">
                  <c:v>2008</c:v>
                </c:pt>
                <c:pt idx="1">
                  <c:v>2009</c:v>
                </c:pt>
                <c:pt idx="2">
                  <c:v>2010</c:v>
                </c:pt>
                <c:pt idx="3">
                  <c:v>2011</c:v>
                </c:pt>
                <c:pt idx="4">
                  <c:v>2012</c:v>
                </c:pt>
                <c:pt idx="5">
                  <c:v>2013</c:v>
                </c:pt>
                <c:pt idx="6">
                  <c:v>2014</c:v>
                </c:pt>
              </c:strCache>
            </c:strRef>
          </c:cat>
          <c:val>
            <c:numRef>
              <c:f>'Eigen berekeningen'!$C$32:$I$32</c:f>
              <c:numCache>
                <c:formatCode>#,##0.00</c:formatCode>
                <c:ptCount val="7"/>
                <c:pt idx="0">
                  <c:v>100</c:v>
                </c:pt>
                <c:pt idx="1">
                  <c:v>93.101176470588229</c:v>
                </c:pt>
                <c:pt idx="2">
                  <c:v>94.117647058823522</c:v>
                </c:pt>
                <c:pt idx="3">
                  <c:v>103.65176470588236</c:v>
                </c:pt>
                <c:pt idx="4">
                  <c:v>101.31764705882354</c:v>
                </c:pt>
                <c:pt idx="5">
                  <c:v>109.19529411764705</c:v>
                </c:pt>
                <c:pt idx="6">
                  <c:v>109.29882352941176</c:v>
                </c:pt>
              </c:numCache>
            </c:numRef>
          </c:val>
          <c:smooth val="0"/>
        </c:ser>
        <c:dLbls>
          <c:showLegendKey val="0"/>
          <c:showVal val="0"/>
          <c:showCatName val="0"/>
          <c:showSerName val="0"/>
          <c:showPercent val="0"/>
          <c:showBubbleSize val="0"/>
        </c:dLbls>
        <c:smooth val="0"/>
        <c:axId val="201818496"/>
        <c:axId val="201818104"/>
      </c:lineChart>
      <c:catAx>
        <c:axId val="201818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201818104"/>
        <c:crosses val="autoZero"/>
        <c:auto val="1"/>
        <c:lblAlgn val="ctr"/>
        <c:lblOffset val="100"/>
        <c:noMultiLvlLbl val="0"/>
      </c:catAx>
      <c:valAx>
        <c:axId val="201818104"/>
        <c:scaling>
          <c:orientation val="minMax"/>
          <c:min val="8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201818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nl-BE" sz="1000" b="1" i="0" baseline="0">
                <a:effectLst/>
              </a:rPr>
              <a:t>Figure 3 : Croissance annuelle de la production en Wallonie (Index 2008=100)</a:t>
            </a:r>
            <a:endParaRPr lang="en-US" sz="1000">
              <a:effectLst/>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lineChart>
        <c:grouping val="standard"/>
        <c:varyColors val="0"/>
        <c:ser>
          <c:idx val="0"/>
          <c:order val="0"/>
          <c:tx>
            <c:strRef>
              <c:f>'Eigen berekeningen'!$B$39</c:f>
              <c:strCache>
                <c:ptCount val="1"/>
                <c:pt idx="0">
                  <c:v>Industrie alimentaire</c:v>
                </c:pt>
              </c:strCache>
            </c:strRef>
          </c:tx>
          <c:spPr>
            <a:ln w="28575" cap="rnd">
              <a:solidFill>
                <a:schemeClr val="accent1"/>
              </a:solidFill>
              <a:round/>
            </a:ln>
            <a:effectLst/>
          </c:spPr>
          <c:marker>
            <c:symbol val="none"/>
          </c:marker>
          <c:cat>
            <c:numRef>
              <c:f>'Eigen berekeningen'!$C$38:$I$38</c:f>
              <c:numCache>
                <c:formatCode>General</c:formatCode>
                <c:ptCount val="7"/>
                <c:pt idx="0">
                  <c:v>2008</c:v>
                </c:pt>
                <c:pt idx="1">
                  <c:v>2009</c:v>
                </c:pt>
                <c:pt idx="2">
                  <c:v>2010</c:v>
                </c:pt>
                <c:pt idx="3">
                  <c:v>2011</c:v>
                </c:pt>
                <c:pt idx="4">
                  <c:v>2012</c:v>
                </c:pt>
                <c:pt idx="5">
                  <c:v>2013</c:v>
                </c:pt>
                <c:pt idx="6">
                  <c:v>2014</c:v>
                </c:pt>
              </c:numCache>
            </c:numRef>
          </c:cat>
          <c:val>
            <c:numRef>
              <c:f>'Eigen berekeningen'!$C$39:$I$39</c:f>
              <c:numCache>
                <c:formatCode>General</c:formatCode>
                <c:ptCount val="7"/>
                <c:pt idx="0">
                  <c:v>100</c:v>
                </c:pt>
                <c:pt idx="1">
                  <c:v>97.887256796231583</c:v>
                </c:pt>
                <c:pt idx="2">
                  <c:v>102.31051737910867</c:v>
                </c:pt>
                <c:pt idx="3">
                  <c:v>105.02156539279994</c:v>
                </c:pt>
                <c:pt idx="4">
                  <c:v>105.3386524401791</c:v>
                </c:pt>
                <c:pt idx="5">
                  <c:v>105.77185847714456</c:v>
                </c:pt>
                <c:pt idx="6">
                  <c:v>108.11659197646381</c:v>
                </c:pt>
              </c:numCache>
            </c:numRef>
          </c:val>
          <c:smooth val="0"/>
        </c:ser>
        <c:ser>
          <c:idx val="1"/>
          <c:order val="1"/>
          <c:tx>
            <c:strRef>
              <c:f>'Eigen berekeningen'!$B$40</c:f>
              <c:strCache>
                <c:ptCount val="1"/>
                <c:pt idx="0">
                  <c:v>Industrie manufacturière</c:v>
                </c:pt>
              </c:strCache>
            </c:strRef>
          </c:tx>
          <c:spPr>
            <a:ln w="28575" cap="rnd">
              <a:solidFill>
                <a:schemeClr val="accent2"/>
              </a:solidFill>
              <a:round/>
            </a:ln>
            <a:effectLst/>
          </c:spPr>
          <c:marker>
            <c:symbol val="none"/>
          </c:marker>
          <c:cat>
            <c:numRef>
              <c:f>'Eigen berekeningen'!$C$38:$I$38</c:f>
              <c:numCache>
                <c:formatCode>General</c:formatCode>
                <c:ptCount val="7"/>
                <c:pt idx="0">
                  <c:v>2008</c:v>
                </c:pt>
                <c:pt idx="1">
                  <c:v>2009</c:v>
                </c:pt>
                <c:pt idx="2">
                  <c:v>2010</c:v>
                </c:pt>
                <c:pt idx="3">
                  <c:v>2011</c:v>
                </c:pt>
                <c:pt idx="4">
                  <c:v>2012</c:v>
                </c:pt>
                <c:pt idx="5">
                  <c:v>2013</c:v>
                </c:pt>
                <c:pt idx="6">
                  <c:v>2014</c:v>
                </c:pt>
              </c:numCache>
            </c:numRef>
          </c:cat>
          <c:val>
            <c:numRef>
              <c:f>'Eigen berekeningen'!$C$40:$I$40</c:f>
              <c:numCache>
                <c:formatCode>General</c:formatCode>
                <c:ptCount val="7"/>
                <c:pt idx="0">
                  <c:v>100</c:v>
                </c:pt>
                <c:pt idx="1">
                  <c:v>89.230942591632314</c:v>
                </c:pt>
                <c:pt idx="2">
                  <c:v>103.40000329387561</c:v>
                </c:pt>
                <c:pt idx="3">
                  <c:v>105.36611204599258</c:v>
                </c:pt>
                <c:pt idx="4">
                  <c:v>103.05567365075608</c:v>
                </c:pt>
                <c:pt idx="5">
                  <c:v>102.72621030289078</c:v>
                </c:pt>
                <c:pt idx="6">
                  <c:v>106.53351240334462</c:v>
                </c:pt>
              </c:numCache>
            </c:numRef>
          </c:val>
          <c:smooth val="0"/>
        </c:ser>
        <c:dLbls>
          <c:showLegendKey val="0"/>
          <c:showVal val="0"/>
          <c:showCatName val="0"/>
          <c:showSerName val="0"/>
          <c:showPercent val="0"/>
          <c:showBubbleSize val="0"/>
        </c:dLbls>
        <c:smooth val="0"/>
        <c:axId val="701639712"/>
        <c:axId val="701640104"/>
      </c:lineChart>
      <c:catAx>
        <c:axId val="701639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701640104"/>
        <c:crosses val="autoZero"/>
        <c:auto val="1"/>
        <c:lblAlgn val="ctr"/>
        <c:lblOffset val="100"/>
        <c:noMultiLvlLbl val="0"/>
      </c:catAx>
      <c:valAx>
        <c:axId val="701640104"/>
        <c:scaling>
          <c:orientation val="minMax"/>
          <c:min val="8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701639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nl-BE" sz="1000" b="1" i="0" baseline="0">
                <a:effectLst/>
              </a:rPr>
              <a:t>Figure 4 : Évolution du nombre de postes de travail en Wallonie (Index 2008=100)</a:t>
            </a:r>
            <a:endParaRPr lang="en-US" sz="1000">
              <a:effectLst/>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lineChart>
        <c:grouping val="standard"/>
        <c:varyColors val="0"/>
        <c:ser>
          <c:idx val="0"/>
          <c:order val="0"/>
          <c:tx>
            <c:strRef>
              <c:f>'Eigen berekeningen'!$B$68</c:f>
              <c:strCache>
                <c:ptCount val="1"/>
                <c:pt idx="0">
                  <c:v>Industrie alimentaire</c:v>
                </c:pt>
              </c:strCache>
            </c:strRef>
          </c:tx>
          <c:spPr>
            <a:ln w="28575" cap="rnd">
              <a:solidFill>
                <a:schemeClr val="accent1"/>
              </a:solidFill>
              <a:round/>
            </a:ln>
            <a:effectLst/>
          </c:spPr>
          <c:marker>
            <c:symbol val="none"/>
          </c:marker>
          <c:dPt>
            <c:idx val="6"/>
            <c:marker>
              <c:symbol val="none"/>
            </c:marker>
            <c:bubble3D val="0"/>
            <c:spPr>
              <a:ln w="28575" cap="rnd">
                <a:solidFill>
                  <a:schemeClr val="accent1"/>
                </a:solidFill>
                <a:prstDash val="sysDash"/>
                <a:round/>
              </a:ln>
              <a:effectLst/>
            </c:spPr>
          </c:dPt>
          <c:cat>
            <c:numRef>
              <c:f>'Eigen berekeningen'!$C$67:$I$67</c:f>
              <c:numCache>
                <c:formatCode>General</c:formatCode>
                <c:ptCount val="7"/>
                <c:pt idx="0">
                  <c:v>2008</c:v>
                </c:pt>
                <c:pt idx="1">
                  <c:v>2009</c:v>
                </c:pt>
                <c:pt idx="2">
                  <c:v>2010</c:v>
                </c:pt>
                <c:pt idx="3">
                  <c:v>2011</c:v>
                </c:pt>
                <c:pt idx="4">
                  <c:v>2012</c:v>
                </c:pt>
                <c:pt idx="5">
                  <c:v>2013</c:v>
                </c:pt>
                <c:pt idx="6">
                  <c:v>2014</c:v>
                </c:pt>
              </c:numCache>
            </c:numRef>
          </c:cat>
          <c:val>
            <c:numRef>
              <c:f>'Eigen berekeningen'!$C$68:$I$68</c:f>
              <c:numCache>
                <c:formatCode>General</c:formatCode>
                <c:ptCount val="7"/>
                <c:pt idx="0">
                  <c:v>100</c:v>
                </c:pt>
                <c:pt idx="1">
                  <c:v>96.279885085455518</c:v>
                </c:pt>
                <c:pt idx="2">
                  <c:v>100.22885523688952</c:v>
                </c:pt>
                <c:pt idx="3">
                  <c:v>102.64400837512781</c:v>
                </c:pt>
                <c:pt idx="4">
                  <c:v>101.84058041583484</c:v>
                </c:pt>
                <c:pt idx="5">
                  <c:v>100.85698982324584</c:v>
                </c:pt>
                <c:pt idx="6">
                  <c:v>100.77767479507405</c:v>
                </c:pt>
              </c:numCache>
            </c:numRef>
          </c:val>
          <c:smooth val="0"/>
        </c:ser>
        <c:ser>
          <c:idx val="1"/>
          <c:order val="1"/>
          <c:tx>
            <c:strRef>
              <c:f>'Eigen berekeningen'!$B$69</c:f>
              <c:strCache>
                <c:ptCount val="1"/>
                <c:pt idx="0">
                  <c:v>Industrie manufacturière</c:v>
                </c:pt>
              </c:strCache>
            </c:strRef>
          </c:tx>
          <c:spPr>
            <a:ln w="28575" cap="rnd">
              <a:solidFill>
                <a:schemeClr val="accent2"/>
              </a:solidFill>
              <a:round/>
            </a:ln>
            <a:effectLst/>
          </c:spPr>
          <c:marker>
            <c:symbol val="none"/>
          </c:marker>
          <c:dPt>
            <c:idx val="6"/>
            <c:marker>
              <c:symbol val="none"/>
            </c:marker>
            <c:bubble3D val="0"/>
            <c:spPr>
              <a:ln w="28575" cap="rnd">
                <a:solidFill>
                  <a:schemeClr val="accent2"/>
                </a:solidFill>
                <a:prstDash val="sysDash"/>
                <a:round/>
              </a:ln>
              <a:effectLst/>
            </c:spPr>
          </c:dPt>
          <c:cat>
            <c:numRef>
              <c:f>'Eigen berekeningen'!$C$67:$I$67</c:f>
              <c:numCache>
                <c:formatCode>General</c:formatCode>
                <c:ptCount val="7"/>
                <c:pt idx="0">
                  <c:v>2008</c:v>
                </c:pt>
                <c:pt idx="1">
                  <c:v>2009</c:v>
                </c:pt>
                <c:pt idx="2">
                  <c:v>2010</c:v>
                </c:pt>
                <c:pt idx="3">
                  <c:v>2011</c:v>
                </c:pt>
                <c:pt idx="4">
                  <c:v>2012</c:v>
                </c:pt>
                <c:pt idx="5">
                  <c:v>2013</c:v>
                </c:pt>
                <c:pt idx="6">
                  <c:v>2014</c:v>
                </c:pt>
              </c:numCache>
            </c:numRef>
          </c:cat>
          <c:val>
            <c:numRef>
              <c:f>'Eigen berekeningen'!$C$69:$I$69</c:f>
              <c:numCache>
                <c:formatCode>General</c:formatCode>
                <c:ptCount val="7"/>
                <c:pt idx="0">
                  <c:v>100</c:v>
                </c:pt>
                <c:pt idx="1">
                  <c:v>95.488187148081508</c:v>
                </c:pt>
                <c:pt idx="2">
                  <c:v>94.284408196435834</c:v>
                </c:pt>
                <c:pt idx="3">
                  <c:v>94.78362454286875</c:v>
                </c:pt>
                <c:pt idx="4">
                  <c:v>92.922447321065775</c:v>
                </c:pt>
                <c:pt idx="5">
                  <c:v>91.192604632263311</c:v>
                </c:pt>
                <c:pt idx="6">
                  <c:v>88.940670791102747</c:v>
                </c:pt>
              </c:numCache>
            </c:numRef>
          </c:val>
          <c:smooth val="0"/>
        </c:ser>
        <c:dLbls>
          <c:showLegendKey val="0"/>
          <c:showVal val="0"/>
          <c:showCatName val="0"/>
          <c:showSerName val="0"/>
          <c:showPercent val="0"/>
          <c:showBubbleSize val="0"/>
        </c:dLbls>
        <c:smooth val="0"/>
        <c:axId val="706198968"/>
        <c:axId val="706199360"/>
      </c:lineChart>
      <c:catAx>
        <c:axId val="706198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706199360"/>
        <c:crosses val="autoZero"/>
        <c:auto val="1"/>
        <c:lblAlgn val="ctr"/>
        <c:lblOffset val="100"/>
        <c:noMultiLvlLbl val="0"/>
      </c:catAx>
      <c:valAx>
        <c:axId val="706199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706198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nl-BE" sz="1000" b="1" i="0" baseline="0">
                <a:effectLst/>
              </a:rPr>
              <a:t>Figure 5 : Evolution salariés industrie alimentaire Wallonne par tranche d'age </a:t>
            </a:r>
            <a:endParaRPr lang="en-US" sz="1000">
              <a:effectLst/>
            </a:endParaRPr>
          </a:p>
          <a:p>
            <a:pPr>
              <a:defRPr sz="1000"/>
            </a:pPr>
            <a:r>
              <a:rPr lang="nl-BE" sz="1000" b="1" i="0" baseline="0">
                <a:effectLst/>
              </a:rPr>
              <a:t>(2005-2014)</a:t>
            </a:r>
            <a:endParaRPr lang="en-US" sz="1000">
              <a:effectLst/>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barChart>
        <c:barDir val="col"/>
        <c:grouping val="clustered"/>
        <c:varyColors val="0"/>
        <c:ser>
          <c:idx val="0"/>
          <c:order val="0"/>
          <c:tx>
            <c:strRef>
              <c:f>'Eigen berekeningen'!$C$73</c:f>
              <c:strCache>
                <c:ptCount val="1"/>
                <c:pt idx="0">
                  <c:v>2005</c:v>
                </c:pt>
              </c:strCache>
            </c:strRef>
          </c:tx>
          <c:spPr>
            <a:solidFill>
              <a:schemeClr val="accent1"/>
            </a:solidFill>
            <a:ln>
              <a:noFill/>
            </a:ln>
            <a:effectLst/>
          </c:spPr>
          <c:invertIfNegative val="0"/>
          <c:cat>
            <c:strRef>
              <c:f>'Eigen berekeningen'!$B$74:$B$76</c:f>
              <c:strCache>
                <c:ptCount val="3"/>
                <c:pt idx="0">
                  <c:v>-25</c:v>
                </c:pt>
                <c:pt idx="1">
                  <c:v>25-49</c:v>
                </c:pt>
                <c:pt idx="2">
                  <c:v>50+ </c:v>
                </c:pt>
              </c:strCache>
            </c:strRef>
          </c:cat>
          <c:val>
            <c:numRef>
              <c:f>'Eigen berekeningen'!$C$74:$C$76</c:f>
              <c:numCache>
                <c:formatCode>0.0%</c:formatCode>
                <c:ptCount val="3"/>
                <c:pt idx="0">
                  <c:v>8.98876404494382E-2</c:v>
                </c:pt>
                <c:pt idx="1">
                  <c:v>0.73919619706136563</c:v>
                </c:pt>
                <c:pt idx="2">
                  <c:v>0.17091616248919619</c:v>
                </c:pt>
              </c:numCache>
            </c:numRef>
          </c:val>
        </c:ser>
        <c:ser>
          <c:idx val="1"/>
          <c:order val="1"/>
          <c:tx>
            <c:strRef>
              <c:f>'Eigen berekeningen'!$D$73</c:f>
              <c:strCache>
                <c:ptCount val="1"/>
                <c:pt idx="0">
                  <c:v>2014</c:v>
                </c:pt>
              </c:strCache>
            </c:strRef>
          </c:tx>
          <c:spPr>
            <a:solidFill>
              <a:schemeClr val="accent2"/>
            </a:solidFill>
            <a:ln>
              <a:noFill/>
            </a:ln>
            <a:effectLst/>
          </c:spPr>
          <c:invertIfNegative val="0"/>
          <c:cat>
            <c:strRef>
              <c:f>'Eigen berekeningen'!$B$74:$B$76</c:f>
              <c:strCache>
                <c:ptCount val="3"/>
                <c:pt idx="0">
                  <c:v>-25</c:v>
                </c:pt>
                <c:pt idx="1">
                  <c:v>25-49</c:v>
                </c:pt>
                <c:pt idx="2">
                  <c:v>50+ </c:v>
                </c:pt>
              </c:strCache>
            </c:strRef>
          </c:cat>
          <c:val>
            <c:numRef>
              <c:f>'Eigen berekeningen'!$D$74:$D$76</c:f>
              <c:numCache>
                <c:formatCode>0.0%</c:formatCode>
                <c:ptCount val="3"/>
                <c:pt idx="0">
                  <c:v>6.9369369369369369E-2</c:v>
                </c:pt>
                <c:pt idx="1">
                  <c:v>0.66717342342342345</c:v>
                </c:pt>
                <c:pt idx="2">
                  <c:v>0.26345720720720722</c:v>
                </c:pt>
              </c:numCache>
            </c:numRef>
          </c:val>
        </c:ser>
        <c:dLbls>
          <c:showLegendKey val="0"/>
          <c:showVal val="0"/>
          <c:showCatName val="0"/>
          <c:showSerName val="0"/>
          <c:showPercent val="0"/>
          <c:showBubbleSize val="0"/>
        </c:dLbls>
        <c:gapWidth val="219"/>
        <c:overlap val="-27"/>
        <c:axId val="706200144"/>
        <c:axId val="706200536"/>
      </c:barChart>
      <c:catAx>
        <c:axId val="70620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706200536"/>
        <c:crosses val="autoZero"/>
        <c:auto val="1"/>
        <c:lblAlgn val="ctr"/>
        <c:lblOffset val="100"/>
        <c:noMultiLvlLbl val="0"/>
      </c:catAx>
      <c:valAx>
        <c:axId val="7062005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7062001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nl-BE" sz="1000" b="1" i="0" baseline="0">
                <a:effectLst/>
              </a:rPr>
              <a:t>Figure 6 : Evolution du niveau de qualification des salariés dans l'industrie alimentaire (2000 - 2013)</a:t>
            </a:r>
            <a:endParaRPr lang="en-US" sz="1000">
              <a:effectLst/>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barChart>
        <c:barDir val="col"/>
        <c:grouping val="clustered"/>
        <c:varyColors val="0"/>
        <c:ser>
          <c:idx val="0"/>
          <c:order val="0"/>
          <c:tx>
            <c:strRef>
              <c:f>'Eigen berekeningen'!$C$80</c:f>
              <c:strCache>
                <c:ptCount val="1"/>
                <c:pt idx="0">
                  <c:v>2000</c:v>
                </c:pt>
              </c:strCache>
            </c:strRef>
          </c:tx>
          <c:spPr>
            <a:solidFill>
              <a:schemeClr val="accent1"/>
            </a:solidFill>
            <a:ln>
              <a:noFill/>
            </a:ln>
            <a:effectLst/>
          </c:spPr>
          <c:invertIfNegative val="0"/>
          <c:cat>
            <c:strRef>
              <c:f>'Eigen berekeningen'!$B$81:$B$86</c:f>
              <c:strCache>
                <c:ptCount val="6"/>
                <c:pt idx="0">
                  <c:v>primaire</c:v>
                </c:pt>
                <c:pt idx="1">
                  <c:v>secondaire inférieur</c:v>
                </c:pt>
                <c:pt idx="2">
                  <c:v>secondaire supérieur</c:v>
                </c:pt>
                <c:pt idx="3">
                  <c:v>sup. type court</c:v>
                </c:pt>
                <c:pt idx="4">
                  <c:v>sup. long non univ </c:v>
                </c:pt>
                <c:pt idx="5">
                  <c:v>universitaire</c:v>
                </c:pt>
              </c:strCache>
            </c:strRef>
          </c:cat>
          <c:val>
            <c:numRef>
              <c:f>'Eigen berekeningen'!$C$81:$C$86</c:f>
              <c:numCache>
                <c:formatCode>0.0%</c:formatCode>
                <c:ptCount val="6"/>
                <c:pt idx="0">
                  <c:v>0.17399999999999999</c:v>
                </c:pt>
                <c:pt idx="1">
                  <c:v>0.26200000000000001</c:v>
                </c:pt>
                <c:pt idx="2">
                  <c:v>0.371</c:v>
                </c:pt>
                <c:pt idx="3">
                  <c:v>0.104</c:v>
                </c:pt>
                <c:pt idx="4">
                  <c:v>3.6999999999999998E-2</c:v>
                </c:pt>
                <c:pt idx="5">
                  <c:v>5.1999999999999998E-2</c:v>
                </c:pt>
              </c:numCache>
            </c:numRef>
          </c:val>
        </c:ser>
        <c:ser>
          <c:idx val="1"/>
          <c:order val="1"/>
          <c:tx>
            <c:strRef>
              <c:f>'Eigen berekeningen'!$D$80</c:f>
              <c:strCache>
                <c:ptCount val="1"/>
                <c:pt idx="0">
                  <c:v>2013</c:v>
                </c:pt>
              </c:strCache>
            </c:strRef>
          </c:tx>
          <c:spPr>
            <a:solidFill>
              <a:schemeClr val="accent2"/>
            </a:solidFill>
            <a:ln>
              <a:noFill/>
            </a:ln>
            <a:effectLst/>
          </c:spPr>
          <c:invertIfNegative val="0"/>
          <c:cat>
            <c:strRef>
              <c:f>'Eigen berekeningen'!$B$81:$B$86</c:f>
              <c:strCache>
                <c:ptCount val="6"/>
                <c:pt idx="0">
                  <c:v>primaire</c:v>
                </c:pt>
                <c:pt idx="1">
                  <c:v>secondaire inférieur</c:v>
                </c:pt>
                <c:pt idx="2">
                  <c:v>secondaire supérieur</c:v>
                </c:pt>
                <c:pt idx="3">
                  <c:v>sup. type court</c:v>
                </c:pt>
                <c:pt idx="4">
                  <c:v>sup. long non univ </c:v>
                </c:pt>
                <c:pt idx="5">
                  <c:v>universitaire</c:v>
                </c:pt>
              </c:strCache>
            </c:strRef>
          </c:cat>
          <c:val>
            <c:numRef>
              <c:f>'Eigen berekeningen'!$D$81:$D$86</c:f>
              <c:numCache>
                <c:formatCode>0.0%</c:formatCode>
                <c:ptCount val="6"/>
                <c:pt idx="0">
                  <c:v>0.12873822550623273</c:v>
                </c:pt>
                <c:pt idx="1">
                  <c:v>0.18310113373568729</c:v>
                </c:pt>
                <c:pt idx="2">
                  <c:v>0.47563878391336228</c:v>
                </c:pt>
                <c:pt idx="3">
                  <c:v>9.5098426307180323E-2</c:v>
                </c:pt>
                <c:pt idx="4">
                  <c:v>4.4367984657905125E-2</c:v>
                </c:pt>
                <c:pt idx="5">
                  <c:v>7.3055445879632239E-2</c:v>
                </c:pt>
              </c:numCache>
            </c:numRef>
          </c:val>
        </c:ser>
        <c:dLbls>
          <c:showLegendKey val="0"/>
          <c:showVal val="0"/>
          <c:showCatName val="0"/>
          <c:showSerName val="0"/>
          <c:showPercent val="0"/>
          <c:showBubbleSize val="0"/>
        </c:dLbls>
        <c:gapWidth val="219"/>
        <c:overlap val="-27"/>
        <c:axId val="706201320"/>
        <c:axId val="706201712"/>
      </c:barChart>
      <c:catAx>
        <c:axId val="706201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706201712"/>
        <c:crosses val="autoZero"/>
        <c:auto val="1"/>
        <c:lblAlgn val="ctr"/>
        <c:lblOffset val="100"/>
        <c:noMultiLvlLbl val="0"/>
      </c:catAx>
      <c:valAx>
        <c:axId val="706201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706201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spc="0" baseline="0">
                <a:solidFill>
                  <a:sysClr val="windowText" lastClr="000000">
                    <a:lumMod val="65000"/>
                    <a:lumOff val="35000"/>
                  </a:sysClr>
                </a:solidFill>
                <a:latin typeface="+mn-lt"/>
                <a:ea typeface="+mn-ea"/>
                <a:cs typeface="+mn-cs"/>
              </a:defRPr>
            </a:pPr>
            <a:r>
              <a:rPr lang="en-US" sz="1000" b="1" i="0" baseline="0">
                <a:effectLst/>
              </a:rPr>
              <a:t>Figure 7 : Distribution nombre de postes de travail par sous-secteur 2013 (Wallonie)</a:t>
            </a:r>
            <a:endParaRPr lang="en-US" sz="1000">
              <a:effectLst/>
            </a:endParaRPr>
          </a:p>
          <a:p>
            <a:pPr marL="0" marR="0" indent="0" algn="ctr" defTabSz="914400" rtl="0" eaLnBrk="1" fontAlgn="auto" latinLnBrk="0" hangingPunct="1">
              <a:lnSpc>
                <a:spcPct val="100000"/>
              </a:lnSpc>
              <a:spcBef>
                <a:spcPts val="0"/>
              </a:spcBef>
              <a:spcAft>
                <a:spcPts val="0"/>
              </a:spcAft>
              <a:buClrTx/>
              <a:buSzTx/>
              <a:buFontTx/>
              <a:buNone/>
              <a:tabLst/>
              <a:defRPr sz="1000">
                <a:solidFill>
                  <a:sysClr val="windowText" lastClr="000000">
                    <a:lumMod val="65000"/>
                    <a:lumOff val="35000"/>
                  </a:sysClr>
                </a:solidFill>
              </a:defRPr>
            </a:pPr>
            <a:endParaRPr lang="en-US" sz="1000"/>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spc="0" baseline="0">
              <a:solidFill>
                <a:sysClr val="windowText" lastClr="000000">
                  <a:lumMod val="65000"/>
                  <a:lumOff val="35000"/>
                </a:sysClr>
              </a:solidFill>
              <a:latin typeface="+mn-lt"/>
              <a:ea typeface="+mn-ea"/>
              <a:cs typeface="+mn-cs"/>
            </a:defRPr>
          </a:pPr>
          <a:endParaRPr lang="nl-BE"/>
        </a:p>
      </c:txPr>
    </c:title>
    <c:autoTitleDeleted val="0"/>
    <c:plotArea>
      <c:layout/>
      <c:barChart>
        <c:barDir val="col"/>
        <c:grouping val="clustered"/>
        <c:varyColors val="0"/>
        <c:ser>
          <c:idx val="0"/>
          <c:order val="0"/>
          <c:tx>
            <c:strRef>
              <c:f>'Eigen berekeningen'!$C$107</c:f>
              <c:strCache>
                <c:ptCount val="1"/>
                <c:pt idx="0">
                  <c:v>2013</c:v>
                </c:pt>
              </c:strCache>
            </c:strRef>
          </c:tx>
          <c:spPr>
            <a:solidFill>
              <a:schemeClr val="accent1"/>
            </a:solidFill>
            <a:ln>
              <a:noFill/>
            </a:ln>
            <a:effectLst/>
          </c:spPr>
          <c:invertIfNegative val="0"/>
          <c:cat>
            <c:strRef>
              <c:f>'Eigen berekeningen'!$B$108:$B$117</c:f>
              <c:strCache>
                <c:ptCount val="10"/>
                <c:pt idx="0">
                  <c:v>Produits de boulangerie-pâtisserie</c:v>
                </c:pt>
                <c:pt idx="1">
                  <c:v>Autres denrées alimentaires</c:v>
                </c:pt>
                <c:pt idx="2">
                  <c:v>Viande</c:v>
                </c:pt>
                <c:pt idx="3">
                  <c:v>Transformation fruits &amp; légumes</c:v>
                </c:pt>
                <c:pt idx="4">
                  <c:v>Fabrication de boissons</c:v>
                </c:pt>
                <c:pt idx="5">
                  <c:v>Industrie laitière</c:v>
                </c:pt>
                <c:pt idx="6">
                  <c:v>Aliments pour animaux</c:v>
                </c:pt>
                <c:pt idx="7">
                  <c:v>Meuneries et amylacés</c:v>
                </c:pt>
                <c:pt idx="8">
                  <c:v>Transformation de poisson</c:v>
                </c:pt>
                <c:pt idx="9">
                  <c:v>Huiles et de graisses</c:v>
                </c:pt>
              </c:strCache>
            </c:strRef>
          </c:cat>
          <c:val>
            <c:numRef>
              <c:f>'Eigen berekeningen'!$C$108:$C$117</c:f>
              <c:numCache>
                <c:formatCode>#,##0</c:formatCode>
                <c:ptCount val="10"/>
                <c:pt idx="0">
                  <c:v>7411</c:v>
                </c:pt>
                <c:pt idx="1">
                  <c:v>3592</c:v>
                </c:pt>
                <c:pt idx="2">
                  <c:v>2482</c:v>
                </c:pt>
                <c:pt idx="3">
                  <c:v>2465</c:v>
                </c:pt>
                <c:pt idx="4">
                  <c:v>2219</c:v>
                </c:pt>
                <c:pt idx="5">
                  <c:v>1672</c:v>
                </c:pt>
                <c:pt idx="6">
                  <c:v>375</c:v>
                </c:pt>
                <c:pt idx="7">
                  <c:v>184</c:v>
                </c:pt>
                <c:pt idx="8">
                  <c:v>167</c:v>
                </c:pt>
                <c:pt idx="9">
                  <c:v>146</c:v>
                </c:pt>
              </c:numCache>
            </c:numRef>
          </c:val>
        </c:ser>
        <c:dLbls>
          <c:showLegendKey val="0"/>
          <c:showVal val="0"/>
          <c:showCatName val="0"/>
          <c:showSerName val="0"/>
          <c:showPercent val="0"/>
          <c:showBubbleSize val="0"/>
        </c:dLbls>
        <c:gapWidth val="219"/>
        <c:overlap val="-27"/>
        <c:axId val="706202496"/>
        <c:axId val="706202888"/>
      </c:barChart>
      <c:catAx>
        <c:axId val="706202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706202888"/>
        <c:crosses val="autoZero"/>
        <c:auto val="1"/>
        <c:lblAlgn val="ctr"/>
        <c:lblOffset val="100"/>
        <c:noMultiLvlLbl val="0"/>
      </c:catAx>
      <c:valAx>
        <c:axId val="7062028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706202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nl-BE" sz="1000" b="1" i="0" baseline="0">
                <a:effectLst/>
              </a:rPr>
              <a:t>Figure 8 : Distribution entreprises et postes de travail en fonction de la taille 2013 (Wallonie)</a:t>
            </a:r>
            <a:endParaRPr lang="en-US" sz="1000">
              <a:effectLst/>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barChart>
        <c:barDir val="bar"/>
        <c:grouping val="percentStacked"/>
        <c:varyColors val="0"/>
        <c:ser>
          <c:idx val="0"/>
          <c:order val="0"/>
          <c:tx>
            <c:strRef>
              <c:f>'Eigen berekeningen'!$C$130</c:f>
              <c:strCache>
                <c:ptCount val="1"/>
                <c:pt idx="0">
                  <c:v>&lt; 5 travailleurs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nl-B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'Eigen berekeningen'!$B$131:$B$132</c:f>
              <c:strCache>
                <c:ptCount val="2"/>
                <c:pt idx="0">
                  <c:v>Postes de travail</c:v>
                </c:pt>
                <c:pt idx="1">
                  <c:v>Lieux de travail</c:v>
                </c:pt>
              </c:strCache>
            </c:strRef>
          </c:cat>
          <c:val>
            <c:numRef>
              <c:f>'Eigen berekeningen'!$C$131:$C$132</c:f>
              <c:numCache>
                <c:formatCode>#,##0</c:formatCode>
                <c:ptCount val="2"/>
                <c:pt idx="0">
                  <c:v>1871</c:v>
                </c:pt>
                <c:pt idx="1">
                  <c:v>865</c:v>
                </c:pt>
              </c:numCache>
            </c:numRef>
          </c:val>
        </c:ser>
        <c:ser>
          <c:idx val="1"/>
          <c:order val="1"/>
          <c:tx>
            <c:strRef>
              <c:f>'Eigen berekeningen'!$D$130</c:f>
              <c:strCache>
                <c:ptCount val="1"/>
                <c:pt idx="0">
                  <c:v>5 - 9 travailleurs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nl-B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'Eigen berekeningen'!$B$131:$B$132</c:f>
              <c:strCache>
                <c:ptCount val="2"/>
                <c:pt idx="0">
                  <c:v>Postes de travail</c:v>
                </c:pt>
                <c:pt idx="1">
                  <c:v>Lieux de travail</c:v>
                </c:pt>
              </c:strCache>
            </c:strRef>
          </c:cat>
          <c:val>
            <c:numRef>
              <c:f>'Eigen berekeningen'!$D$131:$D$132</c:f>
              <c:numCache>
                <c:formatCode>#,##0</c:formatCode>
                <c:ptCount val="2"/>
                <c:pt idx="0">
                  <c:v>1889</c:v>
                </c:pt>
                <c:pt idx="1">
                  <c:v>291</c:v>
                </c:pt>
              </c:numCache>
            </c:numRef>
          </c:val>
        </c:ser>
        <c:ser>
          <c:idx val="2"/>
          <c:order val="2"/>
          <c:tx>
            <c:strRef>
              <c:f>'Eigen berekeningen'!$E$130</c:f>
              <c:strCache>
                <c:ptCount val="1"/>
                <c:pt idx="0">
                  <c:v>10 - 19 travailleurs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nl-B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'Eigen berekeningen'!$B$131:$B$132</c:f>
              <c:strCache>
                <c:ptCount val="2"/>
                <c:pt idx="0">
                  <c:v>Postes de travail</c:v>
                </c:pt>
                <c:pt idx="1">
                  <c:v>Lieux de travail</c:v>
                </c:pt>
              </c:strCache>
            </c:strRef>
          </c:cat>
          <c:val>
            <c:numRef>
              <c:f>'Eigen berekeningen'!$E$131:$E$132</c:f>
              <c:numCache>
                <c:formatCode>#,##0</c:formatCode>
                <c:ptCount val="2"/>
                <c:pt idx="0">
                  <c:v>1732</c:v>
                </c:pt>
                <c:pt idx="1">
                  <c:v>127</c:v>
                </c:pt>
              </c:numCache>
            </c:numRef>
          </c:val>
        </c:ser>
        <c:ser>
          <c:idx val="3"/>
          <c:order val="3"/>
          <c:tx>
            <c:strRef>
              <c:f>'Eigen berekeningen'!$F$130</c:f>
              <c:strCache>
                <c:ptCount val="1"/>
                <c:pt idx="0">
                  <c:v>20 - 49 travailleurs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nl-B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'Eigen berekeningen'!$B$131:$B$132</c:f>
              <c:strCache>
                <c:ptCount val="2"/>
                <c:pt idx="0">
                  <c:v>Postes de travail</c:v>
                </c:pt>
                <c:pt idx="1">
                  <c:v>Lieux de travail</c:v>
                </c:pt>
              </c:strCache>
            </c:strRef>
          </c:cat>
          <c:val>
            <c:numRef>
              <c:f>'Eigen berekeningen'!$F$131:$F$132</c:f>
              <c:numCache>
                <c:formatCode>#,##0</c:formatCode>
                <c:ptCount val="2"/>
                <c:pt idx="0">
                  <c:v>3305</c:v>
                </c:pt>
                <c:pt idx="1">
                  <c:v>102</c:v>
                </c:pt>
              </c:numCache>
            </c:numRef>
          </c:val>
        </c:ser>
        <c:ser>
          <c:idx val="4"/>
          <c:order val="4"/>
          <c:tx>
            <c:strRef>
              <c:f>'Eigen berekeningen'!$G$130</c:f>
              <c:strCache>
                <c:ptCount val="1"/>
                <c:pt idx="0">
                  <c:v>50 - 99 travailleurs</c:v>
                </c:pt>
              </c:strCache>
            </c:strRef>
          </c:tx>
          <c:spPr>
            <a:solidFill>
              <a:schemeClr val="accent5"/>
            </a:solidFill>
            <a:ln>
              <a:noFill/>
            </a:ln>
            <a:effectLst/>
          </c:spPr>
          <c:invertIfNegative val="0"/>
          <c:dLbls>
            <c:dLbl>
              <c:idx val="1"/>
              <c:layout>
                <c:manualLayout>
                  <c:x val="0"/>
                  <c:y val="-1.5679012345679012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nl-B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'Eigen berekeningen'!$B$131:$B$132</c:f>
              <c:strCache>
                <c:ptCount val="2"/>
                <c:pt idx="0">
                  <c:v>Postes de travail</c:v>
                </c:pt>
                <c:pt idx="1">
                  <c:v>Lieux de travail</c:v>
                </c:pt>
              </c:strCache>
            </c:strRef>
          </c:cat>
          <c:val>
            <c:numRef>
              <c:f>'Eigen berekeningen'!$G$131:$G$132</c:f>
              <c:numCache>
                <c:formatCode>#,##0</c:formatCode>
                <c:ptCount val="2"/>
                <c:pt idx="0">
                  <c:v>1776</c:v>
                </c:pt>
                <c:pt idx="1">
                  <c:v>25</c:v>
                </c:pt>
              </c:numCache>
            </c:numRef>
          </c:val>
        </c:ser>
        <c:ser>
          <c:idx val="5"/>
          <c:order val="5"/>
          <c:tx>
            <c:strRef>
              <c:f>'Eigen berekeningen'!$H$130</c:f>
              <c:strCache>
                <c:ptCount val="1"/>
                <c:pt idx="0">
                  <c:v>100 - 249 travailleurs</c:v>
                </c:pt>
              </c:strCache>
            </c:strRef>
          </c:tx>
          <c:spPr>
            <a:solidFill>
              <a:schemeClr val="accent6"/>
            </a:solidFill>
            <a:ln>
              <a:noFill/>
            </a:ln>
            <a:effectLst/>
          </c:spPr>
          <c:invertIfNegative val="0"/>
          <c:dLbls>
            <c:dLbl>
              <c:idx val="1"/>
              <c:layout>
                <c:manualLayout>
                  <c:x val="0"/>
                  <c:y val="2.3518518518518518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nl-B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'Eigen berekeningen'!$B$131:$B$132</c:f>
              <c:strCache>
                <c:ptCount val="2"/>
                <c:pt idx="0">
                  <c:v>Postes de travail</c:v>
                </c:pt>
                <c:pt idx="1">
                  <c:v>Lieux de travail</c:v>
                </c:pt>
              </c:strCache>
            </c:strRef>
          </c:cat>
          <c:val>
            <c:numRef>
              <c:f>'Eigen berekeningen'!$H$131:$H$132</c:f>
              <c:numCache>
                <c:formatCode>#,##0</c:formatCode>
                <c:ptCount val="2"/>
                <c:pt idx="0">
                  <c:v>4797.541870651894</c:v>
                </c:pt>
                <c:pt idx="1">
                  <c:v>33</c:v>
                </c:pt>
              </c:numCache>
            </c:numRef>
          </c:val>
        </c:ser>
        <c:ser>
          <c:idx val="6"/>
          <c:order val="6"/>
          <c:tx>
            <c:strRef>
              <c:f>'Eigen berekeningen'!$I$130</c:f>
              <c:strCache>
                <c:ptCount val="1"/>
                <c:pt idx="0">
                  <c:v>≥ 250 travailleurs</c:v>
                </c:pt>
              </c:strCache>
            </c:strRef>
          </c:tx>
          <c:spPr>
            <a:solidFill>
              <a:schemeClr val="accent1">
                <a:lumMod val="60000"/>
              </a:schemeClr>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nl-BE"/>
                </a:p>
              </c:txPr>
              <c:dLblPos val="ctr"/>
              <c:showLegendKey val="0"/>
              <c:showVal val="1"/>
              <c:showCatName val="0"/>
              <c:showSerName val="0"/>
              <c:showPercent val="0"/>
              <c:showBubbleSize val="0"/>
            </c:dLbl>
            <c:dLbl>
              <c:idx val="1"/>
              <c:layout>
                <c:manualLayout>
                  <c:x val="1.9843749999999837E-2"/>
                  <c:y val="0"/>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nl-BE"/>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'Eigen berekeningen'!$B$131:$B$132</c:f>
              <c:strCache>
                <c:ptCount val="2"/>
                <c:pt idx="0">
                  <c:v>Postes de travail</c:v>
                </c:pt>
                <c:pt idx="1">
                  <c:v>Lieux de travail</c:v>
                </c:pt>
              </c:strCache>
            </c:strRef>
          </c:cat>
          <c:val>
            <c:numRef>
              <c:f>'Eigen berekeningen'!$I$131:$I$132</c:f>
              <c:numCache>
                <c:formatCode>#,##0</c:formatCode>
                <c:ptCount val="2"/>
                <c:pt idx="0">
                  <c:v>5342.458129348106</c:v>
                </c:pt>
                <c:pt idx="1">
                  <c:v>13</c:v>
                </c:pt>
              </c:numCache>
            </c:numRef>
          </c:val>
        </c:ser>
        <c:dLbls>
          <c:dLblPos val="ctr"/>
          <c:showLegendKey val="0"/>
          <c:showVal val="1"/>
          <c:showCatName val="0"/>
          <c:showSerName val="0"/>
          <c:showPercent val="0"/>
          <c:showBubbleSize val="0"/>
        </c:dLbls>
        <c:gapWidth val="150"/>
        <c:overlap val="100"/>
        <c:axId val="706203672"/>
        <c:axId val="706204064"/>
      </c:barChart>
      <c:catAx>
        <c:axId val="706203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706204064"/>
        <c:crosses val="autoZero"/>
        <c:auto val="1"/>
        <c:lblAlgn val="ctr"/>
        <c:lblOffset val="100"/>
        <c:noMultiLvlLbl val="0"/>
      </c:catAx>
      <c:valAx>
        <c:axId val="7062040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706203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nl-BE" sz="1000" b="1" i="0" baseline="0">
                <a:effectLst/>
              </a:rPr>
              <a:t>Figure 9 : Évolution du nombre d'entreprises et taille moyenne (Wallonie)</a:t>
            </a:r>
            <a:endParaRPr lang="en-US" sz="1000">
              <a:effectLst/>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lineChart>
        <c:grouping val="standard"/>
        <c:varyColors val="0"/>
        <c:ser>
          <c:idx val="0"/>
          <c:order val="0"/>
          <c:tx>
            <c:strRef>
              <c:f>'Eigen berekeningen'!$B$147</c:f>
              <c:strCache>
                <c:ptCount val="1"/>
                <c:pt idx="0">
                  <c:v>Nombre de lieux de travail</c:v>
                </c:pt>
              </c:strCache>
            </c:strRef>
          </c:tx>
          <c:spPr>
            <a:ln w="28575" cap="rnd">
              <a:solidFill>
                <a:schemeClr val="accent1"/>
              </a:solidFill>
              <a:round/>
            </a:ln>
            <a:effectLst/>
          </c:spPr>
          <c:marker>
            <c:symbol val="none"/>
          </c:marker>
          <c:dPt>
            <c:idx val="6"/>
            <c:marker>
              <c:symbol val="none"/>
            </c:marker>
            <c:bubble3D val="0"/>
            <c:spPr>
              <a:ln w="28575" cap="rnd">
                <a:solidFill>
                  <a:schemeClr val="accent1"/>
                </a:solidFill>
                <a:prstDash val="sysDash"/>
                <a:round/>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'Eigen berekeningen'!$C$146:$I$146</c:f>
              <c:numCache>
                <c:formatCode>General</c:formatCode>
                <c:ptCount val="7"/>
                <c:pt idx="0">
                  <c:v>2008</c:v>
                </c:pt>
                <c:pt idx="1">
                  <c:v>2009</c:v>
                </c:pt>
                <c:pt idx="2">
                  <c:v>2010</c:v>
                </c:pt>
                <c:pt idx="3">
                  <c:v>2011</c:v>
                </c:pt>
                <c:pt idx="4">
                  <c:v>2012</c:v>
                </c:pt>
                <c:pt idx="5">
                  <c:v>2013</c:v>
                </c:pt>
                <c:pt idx="6">
                  <c:v>2014</c:v>
                </c:pt>
              </c:numCache>
            </c:numRef>
          </c:cat>
          <c:val>
            <c:numRef>
              <c:f>'Eigen berekeningen'!$C$147:$I$147</c:f>
              <c:numCache>
                <c:formatCode>#,##0</c:formatCode>
                <c:ptCount val="7"/>
                <c:pt idx="0">
                  <c:v>1596</c:v>
                </c:pt>
                <c:pt idx="1">
                  <c:v>1570</c:v>
                </c:pt>
                <c:pt idx="2">
                  <c:v>1558</c:v>
                </c:pt>
                <c:pt idx="3">
                  <c:v>1518</c:v>
                </c:pt>
                <c:pt idx="4">
                  <c:v>1475</c:v>
                </c:pt>
                <c:pt idx="5">
                  <c:v>1456</c:v>
                </c:pt>
                <c:pt idx="6">
                  <c:v>1436.0851063829787</c:v>
                </c:pt>
              </c:numCache>
            </c:numRef>
          </c:val>
          <c:smooth val="0"/>
        </c:ser>
        <c:dLbls>
          <c:dLblPos val="t"/>
          <c:showLegendKey val="0"/>
          <c:showVal val="1"/>
          <c:showCatName val="0"/>
          <c:showSerName val="0"/>
          <c:showPercent val="0"/>
          <c:showBubbleSize val="0"/>
        </c:dLbls>
        <c:marker val="1"/>
        <c:smooth val="0"/>
        <c:axId val="706204848"/>
        <c:axId val="706205240"/>
      </c:lineChart>
      <c:lineChart>
        <c:grouping val="standard"/>
        <c:varyColors val="0"/>
        <c:ser>
          <c:idx val="1"/>
          <c:order val="1"/>
          <c:tx>
            <c:strRef>
              <c:f>'Eigen berekeningen'!$B$148</c:f>
              <c:strCache>
                <c:ptCount val="1"/>
                <c:pt idx="0">
                  <c:v>Emplois par lieu de travail</c:v>
                </c:pt>
              </c:strCache>
            </c:strRef>
          </c:tx>
          <c:spPr>
            <a:ln w="28575" cap="rnd">
              <a:solidFill>
                <a:schemeClr val="accent2"/>
              </a:solidFill>
              <a:round/>
            </a:ln>
            <a:effectLst/>
          </c:spPr>
          <c:marker>
            <c:symbol val="none"/>
          </c:marker>
          <c:dPt>
            <c:idx val="6"/>
            <c:marker>
              <c:symbol val="none"/>
            </c:marker>
            <c:bubble3D val="0"/>
            <c:spPr>
              <a:ln w="28575" cap="rnd">
                <a:solidFill>
                  <a:schemeClr val="accent2"/>
                </a:solidFill>
                <a:prstDash val="sysDash"/>
                <a:round/>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BE"/>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'Eigen berekeningen'!$C$146:$I$146</c:f>
              <c:numCache>
                <c:formatCode>General</c:formatCode>
                <c:ptCount val="7"/>
                <c:pt idx="0">
                  <c:v>2008</c:v>
                </c:pt>
                <c:pt idx="1">
                  <c:v>2009</c:v>
                </c:pt>
                <c:pt idx="2">
                  <c:v>2010</c:v>
                </c:pt>
                <c:pt idx="3">
                  <c:v>2011</c:v>
                </c:pt>
                <c:pt idx="4">
                  <c:v>2012</c:v>
                </c:pt>
                <c:pt idx="5">
                  <c:v>2013</c:v>
                </c:pt>
                <c:pt idx="6">
                  <c:v>2014</c:v>
                </c:pt>
              </c:numCache>
            </c:numRef>
          </c:cat>
          <c:val>
            <c:numRef>
              <c:f>'Eigen berekeningen'!$C$148:$I$148</c:f>
              <c:numCache>
                <c:formatCode>#,##0.0</c:formatCode>
                <c:ptCount val="7"/>
                <c:pt idx="0">
                  <c:v>12.867794486215539</c:v>
                </c:pt>
                <c:pt idx="1">
                  <c:v>12.594267515923567</c:v>
                </c:pt>
                <c:pt idx="2">
                  <c:v>13.21181001283697</c:v>
                </c:pt>
                <c:pt idx="3">
                  <c:v>13.886693017127799</c:v>
                </c:pt>
                <c:pt idx="4">
                  <c:v>14.179661016949153</c:v>
                </c:pt>
                <c:pt idx="5">
                  <c:v>14.225961538461538</c:v>
                </c:pt>
                <c:pt idx="6">
                  <c:v>14.41189730376948</c:v>
                </c:pt>
              </c:numCache>
            </c:numRef>
          </c:val>
          <c:smooth val="0"/>
        </c:ser>
        <c:dLbls>
          <c:dLblPos val="t"/>
          <c:showLegendKey val="0"/>
          <c:showVal val="1"/>
          <c:showCatName val="0"/>
          <c:showSerName val="0"/>
          <c:showPercent val="0"/>
          <c:showBubbleSize val="0"/>
        </c:dLbls>
        <c:marker val="1"/>
        <c:smooth val="0"/>
        <c:axId val="706206024"/>
        <c:axId val="706205632"/>
      </c:lineChart>
      <c:catAx>
        <c:axId val="70620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706205240"/>
        <c:crosses val="autoZero"/>
        <c:auto val="1"/>
        <c:lblAlgn val="ctr"/>
        <c:lblOffset val="100"/>
        <c:noMultiLvlLbl val="0"/>
      </c:catAx>
      <c:valAx>
        <c:axId val="7062052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706204848"/>
        <c:crosses val="autoZero"/>
        <c:crossBetween val="between"/>
      </c:valAx>
      <c:valAx>
        <c:axId val="706205632"/>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706206024"/>
        <c:crosses val="max"/>
        <c:crossBetween val="between"/>
      </c:valAx>
      <c:catAx>
        <c:axId val="706206024"/>
        <c:scaling>
          <c:orientation val="minMax"/>
        </c:scaling>
        <c:delete val="1"/>
        <c:axPos val="b"/>
        <c:numFmt formatCode="General" sourceLinked="1"/>
        <c:majorTickMark val="out"/>
        <c:minorTickMark val="none"/>
        <c:tickLblPos val="nextTo"/>
        <c:crossAx val="70620563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B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0.801</cdr:x>
      <cdr:y>0.1303</cdr:y>
    </cdr:from>
    <cdr:to>
      <cdr:x>0.99282</cdr:x>
      <cdr:y>0.36843</cdr:y>
    </cdr:to>
    <cdr:sp macro="" textlink="">
      <cdr:nvSpPr>
        <cdr:cNvPr id="2" name="TextBox 1"/>
        <cdr:cNvSpPr txBox="1"/>
      </cdr:nvSpPr>
      <cdr:spPr>
        <a:xfrm xmlns:a="http://schemas.openxmlformats.org/drawingml/2006/main">
          <a:off x="4613743" y="422184"/>
          <a:ext cx="1104900" cy="771525"/>
        </a:xfrm>
        <a:prstGeom xmlns:a="http://schemas.openxmlformats.org/drawingml/2006/main" prst="rect">
          <a:avLst/>
        </a:prstGeom>
        <a:ln xmlns:a="http://schemas.openxmlformats.org/drawingml/2006/main" w="25400">
          <a:solidFill>
            <a:srgbClr val="FF0000"/>
          </a:solidFill>
        </a:ln>
      </cdr:spPr>
      <cdr:txBody>
        <a:bodyPr xmlns:a="http://schemas.openxmlformats.org/drawingml/2006/main" vertOverflow="clip" wrap="square" rtlCol="0" anchor="ctr"/>
        <a:lstStyle xmlns:a="http://schemas.openxmlformats.org/drawingml/2006/main"/>
        <a:p xmlns:a="http://schemas.openxmlformats.org/drawingml/2006/main">
          <a:pPr algn="ctr"/>
          <a:r>
            <a:rPr lang="en-US" sz="1100" b="1"/>
            <a:t>Industrie alimentaire</a:t>
          </a:r>
          <a:r>
            <a:rPr lang="en-US" sz="1100" b="1" baseline="0"/>
            <a:t> Wallonne</a:t>
          </a:r>
          <a:endParaRPr lang="en-US" sz="1100" b="1"/>
        </a:p>
      </cdr:txBody>
    </cdr:sp>
  </cdr:relSizeAnchor>
  <cdr:relSizeAnchor xmlns:cdr="http://schemas.openxmlformats.org/drawingml/2006/chartDrawing">
    <cdr:from>
      <cdr:x>0.68192</cdr:x>
      <cdr:y>0.18914</cdr:y>
    </cdr:from>
    <cdr:to>
      <cdr:x>0.78115</cdr:x>
      <cdr:y>0.55076</cdr:y>
    </cdr:to>
    <cdr:sp macro="" textlink="">
      <cdr:nvSpPr>
        <cdr:cNvPr id="3" name="Oval 2"/>
        <cdr:cNvSpPr/>
      </cdr:nvSpPr>
      <cdr:spPr>
        <a:xfrm xmlns:a="http://schemas.openxmlformats.org/drawingml/2006/main">
          <a:off x="3927475" y="612775"/>
          <a:ext cx="571500" cy="1171575"/>
        </a:xfrm>
        <a:prstGeom xmlns:a="http://schemas.openxmlformats.org/drawingml/2006/main" prst="ellipse">
          <a:avLst/>
        </a:prstGeom>
        <a:noFill xmlns:a="http://schemas.openxmlformats.org/drawingml/2006/main"/>
        <a:ln xmlns:a="http://schemas.openxmlformats.org/drawingml/2006/main" w="25400" cmpd="sng">
          <a:solidFill>
            <a:srgbClr val="FF0000"/>
          </a:solidFill>
          <a:prstDash val="solid"/>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0.77619</cdr:x>
      <cdr:y>0.31262</cdr:y>
    </cdr:from>
    <cdr:to>
      <cdr:x>0.80099</cdr:x>
      <cdr:y>0.31262</cdr:y>
    </cdr:to>
    <cdr:cxnSp macro="">
      <cdr:nvCxnSpPr>
        <cdr:cNvPr id="4" name="Straight Connector 3"/>
        <cdr:cNvCxnSpPr/>
      </cdr:nvCxnSpPr>
      <cdr:spPr>
        <a:xfrm xmlns:a="http://schemas.openxmlformats.org/drawingml/2006/main">
          <a:off x="4470400" y="1012825"/>
          <a:ext cx="142875" cy="0"/>
        </a:xfrm>
        <a:prstGeom xmlns:a="http://schemas.openxmlformats.org/drawingml/2006/main" prst="line">
          <a:avLst/>
        </a:prstGeom>
        <a:ln xmlns:a="http://schemas.openxmlformats.org/drawingml/2006/main" w="2540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F6B69-0BD5-43BB-9B72-C1A9B9CED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3466</Words>
  <Characters>19063</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Rapport économique annuel</vt:lpstr>
    </vt:vector>
  </TitlesOfParts>
  <Company>Fevia</Company>
  <LinksUpToDate>false</LinksUpToDate>
  <CharactersWithSpaces>22485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économique annuel</dc:title>
  <dc:subject>Industrie alimentaire wallonne –  2014</dc:subject>
  <dc:creator>Pieter Weyn</dc:creator>
  <cp:lastModifiedBy>Linsey Buwez</cp:lastModifiedBy>
  <cp:revision>3</cp:revision>
  <cp:lastPrinted>2015-02-11T13:26:00Z</cp:lastPrinted>
  <dcterms:created xsi:type="dcterms:W3CDTF">2015-11-10T09:54:00Z</dcterms:created>
  <dcterms:modified xsi:type="dcterms:W3CDTF">2015-11-20T09:38:00Z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-337822736</vt:i4>
  </property>
</Properties>
</file>