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F4CD" w14:textId="77777777" w:rsidR="000812D2" w:rsidRPr="000812D2" w:rsidRDefault="000812D2" w:rsidP="00B022BA">
      <w:pPr>
        <w:rPr>
          <w:rFonts w:ascii="Garamond" w:hAnsi="Garamond"/>
          <w:sz w:val="22"/>
          <w:lang w:val="en-US"/>
        </w:rPr>
      </w:pPr>
    </w:p>
    <w:tbl>
      <w:tblPr>
        <w:tblW w:w="9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6"/>
        <w:gridCol w:w="324"/>
        <w:gridCol w:w="4463"/>
      </w:tblGrid>
      <w:tr w:rsidR="00B022BA" w14:paraId="23091B4B" w14:textId="77777777" w:rsidTr="0013508B">
        <w:trPr>
          <w:trHeight w:val="151"/>
        </w:trPr>
        <w:tc>
          <w:tcPr>
            <w:tcW w:w="4496" w:type="dxa"/>
            <w:tcBorders>
              <w:top w:val="nil"/>
              <w:left w:val="nil"/>
              <w:bottom w:val="nil"/>
              <w:right w:val="nil"/>
            </w:tcBorders>
          </w:tcPr>
          <w:p w14:paraId="24471EB6" w14:textId="3AE3EC3B" w:rsidR="00B022BA" w:rsidRDefault="004B7D74" w:rsidP="0013508B">
            <w:pPr>
              <w:pStyle w:val="Titre3"/>
              <w:jc w:val="center"/>
              <w:rPr>
                <w:rFonts w:ascii="Garamond" w:hAnsi="Garamond"/>
                <w:sz w:val="22"/>
                <w:lang w:val="fr-BE"/>
              </w:rPr>
            </w:pPr>
            <w:r w:rsidRPr="005A1493">
              <w:rPr>
                <w:rFonts w:ascii="Garamond" w:hAnsi="Garamond"/>
                <w:sz w:val="22"/>
                <w:lang w:val="fr-BE"/>
              </w:rPr>
              <w:t>Royaume de Belgique</w:t>
            </w:r>
          </w:p>
        </w:tc>
        <w:tc>
          <w:tcPr>
            <w:tcW w:w="324" w:type="dxa"/>
            <w:tcBorders>
              <w:top w:val="nil"/>
              <w:left w:val="nil"/>
              <w:bottom w:val="nil"/>
              <w:right w:val="nil"/>
            </w:tcBorders>
          </w:tcPr>
          <w:p w14:paraId="5771F579" w14:textId="77777777" w:rsidR="00B022BA" w:rsidRDefault="00B022BA" w:rsidP="0013508B">
            <w:pPr>
              <w:pStyle w:val="Titre2"/>
              <w:rPr>
                <w:rFonts w:ascii="Garamond" w:hAnsi="Garamond"/>
                <w:sz w:val="22"/>
                <w:lang w:val="fr-BE"/>
              </w:rPr>
            </w:pPr>
          </w:p>
        </w:tc>
        <w:tc>
          <w:tcPr>
            <w:tcW w:w="4463" w:type="dxa"/>
            <w:tcBorders>
              <w:top w:val="nil"/>
              <w:left w:val="nil"/>
              <w:bottom w:val="nil"/>
              <w:right w:val="nil"/>
            </w:tcBorders>
          </w:tcPr>
          <w:p w14:paraId="49E2F621" w14:textId="75EAF833" w:rsidR="00B022BA" w:rsidRPr="005A1493" w:rsidRDefault="00632F55" w:rsidP="0013508B">
            <w:pPr>
              <w:pStyle w:val="Titre2"/>
              <w:rPr>
                <w:rFonts w:ascii="Garamond" w:hAnsi="Garamond"/>
                <w:sz w:val="22"/>
                <w:lang w:val="fr-BE"/>
              </w:rPr>
            </w:pPr>
            <w:r>
              <w:rPr>
                <w:rFonts w:ascii="Garamond" w:hAnsi="Garamond"/>
                <w:sz w:val="22"/>
                <w:lang w:val="fr-BE"/>
              </w:rPr>
              <w:t>Koninkrijk België</w:t>
            </w:r>
          </w:p>
        </w:tc>
      </w:tr>
      <w:tr w:rsidR="00B022BA" w14:paraId="69408B30" w14:textId="77777777" w:rsidTr="0013508B">
        <w:tc>
          <w:tcPr>
            <w:tcW w:w="4496" w:type="dxa"/>
            <w:tcBorders>
              <w:top w:val="nil"/>
              <w:left w:val="nil"/>
              <w:bottom w:val="nil"/>
              <w:right w:val="nil"/>
            </w:tcBorders>
          </w:tcPr>
          <w:p w14:paraId="2F68D4C7" w14:textId="77777777" w:rsidR="00B022BA" w:rsidRDefault="00B022BA" w:rsidP="0013508B">
            <w:pPr>
              <w:tabs>
                <w:tab w:val="left" w:pos="2268"/>
              </w:tabs>
              <w:jc w:val="center"/>
              <w:rPr>
                <w:rFonts w:ascii="Garamond" w:hAnsi="Garamond"/>
                <w:sz w:val="22"/>
                <w:lang w:val="fr-BE"/>
              </w:rPr>
            </w:pPr>
            <w:r>
              <w:rPr>
                <w:rFonts w:ascii="Garamond" w:hAnsi="Garamond"/>
                <w:sz w:val="22"/>
                <w:lang w:val="fr-BE"/>
              </w:rPr>
              <w:t>_________</w:t>
            </w:r>
          </w:p>
        </w:tc>
        <w:tc>
          <w:tcPr>
            <w:tcW w:w="324" w:type="dxa"/>
            <w:tcBorders>
              <w:top w:val="nil"/>
              <w:left w:val="nil"/>
              <w:bottom w:val="nil"/>
              <w:right w:val="nil"/>
            </w:tcBorders>
          </w:tcPr>
          <w:p w14:paraId="63B7A989" w14:textId="77777777" w:rsidR="00B022BA" w:rsidRDefault="00B022BA" w:rsidP="0013508B">
            <w:pPr>
              <w:tabs>
                <w:tab w:val="left" w:pos="2410"/>
              </w:tabs>
              <w:rPr>
                <w:rFonts w:ascii="Garamond" w:hAnsi="Garamond"/>
                <w:sz w:val="22"/>
                <w:lang w:val="fr-BE"/>
              </w:rPr>
            </w:pPr>
          </w:p>
        </w:tc>
        <w:tc>
          <w:tcPr>
            <w:tcW w:w="4463" w:type="dxa"/>
            <w:tcBorders>
              <w:top w:val="nil"/>
              <w:left w:val="nil"/>
              <w:bottom w:val="nil"/>
              <w:right w:val="nil"/>
            </w:tcBorders>
          </w:tcPr>
          <w:p w14:paraId="17EFE568" w14:textId="77777777" w:rsidR="00B022BA" w:rsidRPr="005A1493" w:rsidRDefault="00B022BA" w:rsidP="0013508B">
            <w:pPr>
              <w:tabs>
                <w:tab w:val="left" w:pos="2410"/>
              </w:tabs>
              <w:jc w:val="center"/>
              <w:rPr>
                <w:rFonts w:ascii="Garamond" w:hAnsi="Garamond"/>
                <w:sz w:val="22"/>
                <w:lang w:val="fr-BE"/>
              </w:rPr>
            </w:pPr>
            <w:r w:rsidRPr="005A1493">
              <w:rPr>
                <w:rFonts w:ascii="Garamond" w:hAnsi="Garamond"/>
                <w:sz w:val="22"/>
                <w:lang w:val="fr-BE"/>
              </w:rPr>
              <w:t>_________</w:t>
            </w:r>
          </w:p>
        </w:tc>
      </w:tr>
      <w:tr w:rsidR="00B022BA" w14:paraId="7269ADEB" w14:textId="77777777" w:rsidTr="0013508B">
        <w:tc>
          <w:tcPr>
            <w:tcW w:w="4496" w:type="dxa"/>
            <w:tcBorders>
              <w:top w:val="nil"/>
              <w:left w:val="nil"/>
              <w:bottom w:val="nil"/>
              <w:right w:val="nil"/>
            </w:tcBorders>
          </w:tcPr>
          <w:p w14:paraId="6C28AA6B" w14:textId="77777777" w:rsidR="00B022BA" w:rsidRDefault="00B022BA" w:rsidP="0013508B">
            <w:pPr>
              <w:tabs>
                <w:tab w:val="left" w:pos="2268"/>
              </w:tabs>
              <w:jc w:val="center"/>
              <w:rPr>
                <w:rFonts w:ascii="Garamond" w:hAnsi="Garamond"/>
                <w:sz w:val="22"/>
                <w:lang w:val="fr-BE"/>
              </w:rPr>
            </w:pPr>
          </w:p>
        </w:tc>
        <w:tc>
          <w:tcPr>
            <w:tcW w:w="324" w:type="dxa"/>
            <w:tcBorders>
              <w:top w:val="nil"/>
              <w:left w:val="nil"/>
              <w:bottom w:val="nil"/>
              <w:right w:val="nil"/>
            </w:tcBorders>
          </w:tcPr>
          <w:p w14:paraId="6F1EBFFB" w14:textId="77777777" w:rsidR="00B022BA" w:rsidRDefault="00B022BA" w:rsidP="0013508B">
            <w:pPr>
              <w:tabs>
                <w:tab w:val="left" w:pos="2410"/>
              </w:tabs>
              <w:rPr>
                <w:rFonts w:ascii="Garamond" w:hAnsi="Garamond"/>
                <w:sz w:val="22"/>
                <w:lang w:val="fr-BE"/>
              </w:rPr>
            </w:pPr>
          </w:p>
        </w:tc>
        <w:tc>
          <w:tcPr>
            <w:tcW w:w="4463" w:type="dxa"/>
            <w:tcBorders>
              <w:top w:val="nil"/>
              <w:left w:val="nil"/>
              <w:bottom w:val="nil"/>
              <w:right w:val="nil"/>
            </w:tcBorders>
          </w:tcPr>
          <w:p w14:paraId="09B7FCCB" w14:textId="77777777" w:rsidR="00B022BA" w:rsidRPr="005A1493" w:rsidRDefault="00B022BA" w:rsidP="0013508B">
            <w:pPr>
              <w:tabs>
                <w:tab w:val="left" w:pos="2410"/>
              </w:tabs>
              <w:jc w:val="center"/>
              <w:rPr>
                <w:rFonts w:ascii="Garamond" w:hAnsi="Garamond"/>
                <w:sz w:val="22"/>
                <w:lang w:val="fr-BE"/>
              </w:rPr>
            </w:pPr>
          </w:p>
        </w:tc>
      </w:tr>
      <w:tr w:rsidR="00B022BA" w:rsidRPr="004E5F07" w14:paraId="3348244D" w14:textId="77777777" w:rsidTr="0013508B">
        <w:tc>
          <w:tcPr>
            <w:tcW w:w="4496" w:type="dxa"/>
            <w:tcBorders>
              <w:top w:val="nil"/>
              <w:left w:val="nil"/>
              <w:bottom w:val="nil"/>
              <w:right w:val="nil"/>
            </w:tcBorders>
          </w:tcPr>
          <w:p w14:paraId="5B41F6B9" w14:textId="00154970" w:rsidR="00B022BA" w:rsidRPr="004B7D74" w:rsidRDefault="004B7D74" w:rsidP="0013508B">
            <w:pPr>
              <w:tabs>
                <w:tab w:val="left" w:pos="2268"/>
              </w:tabs>
              <w:jc w:val="center"/>
              <w:rPr>
                <w:rFonts w:ascii="Garamond" w:hAnsi="Garamond"/>
                <w:b/>
                <w:bCs/>
                <w:sz w:val="22"/>
                <w:lang w:val="fr-BE"/>
              </w:rPr>
            </w:pPr>
            <w:r w:rsidRPr="005A1493">
              <w:rPr>
                <w:rFonts w:ascii="Garamond" w:hAnsi="Garamond"/>
                <w:b/>
                <w:bCs/>
                <w:sz w:val="22"/>
                <w:lang w:val="fr-BE"/>
              </w:rPr>
              <w:t>SERVICE PUBLIC FEDERAL SANTE PUBLIQUE, SECURITE DE LA CHAINE ALIMENTAIRE ET ENVIRONNEMENT</w:t>
            </w:r>
          </w:p>
        </w:tc>
        <w:tc>
          <w:tcPr>
            <w:tcW w:w="324" w:type="dxa"/>
            <w:tcBorders>
              <w:top w:val="nil"/>
              <w:left w:val="nil"/>
              <w:bottom w:val="nil"/>
              <w:right w:val="nil"/>
            </w:tcBorders>
          </w:tcPr>
          <w:p w14:paraId="0CA2F5D8" w14:textId="77777777" w:rsidR="00B022BA" w:rsidRPr="004B7D74" w:rsidRDefault="00B022BA" w:rsidP="0013508B">
            <w:pPr>
              <w:tabs>
                <w:tab w:val="left" w:pos="2410"/>
              </w:tabs>
              <w:jc w:val="center"/>
              <w:rPr>
                <w:rFonts w:ascii="Garamond" w:hAnsi="Garamond"/>
                <w:b/>
                <w:bCs/>
                <w:sz w:val="22"/>
                <w:lang w:val="fr-BE"/>
              </w:rPr>
            </w:pPr>
          </w:p>
        </w:tc>
        <w:tc>
          <w:tcPr>
            <w:tcW w:w="4463" w:type="dxa"/>
            <w:tcBorders>
              <w:top w:val="nil"/>
              <w:left w:val="nil"/>
              <w:bottom w:val="nil"/>
              <w:right w:val="nil"/>
            </w:tcBorders>
          </w:tcPr>
          <w:p w14:paraId="62BE22C1" w14:textId="7B830B35" w:rsidR="00B022BA" w:rsidRPr="00632F55" w:rsidRDefault="00632F55" w:rsidP="0013508B">
            <w:pPr>
              <w:tabs>
                <w:tab w:val="left" w:pos="2410"/>
                <w:tab w:val="left" w:pos="3616"/>
                <w:tab w:val="left" w:pos="3899"/>
              </w:tabs>
              <w:jc w:val="center"/>
              <w:rPr>
                <w:rFonts w:ascii="Garamond" w:hAnsi="Garamond"/>
                <w:b/>
                <w:bCs/>
                <w:sz w:val="22"/>
                <w:lang w:val="nl-NL"/>
              </w:rPr>
            </w:pPr>
            <w:r>
              <w:rPr>
                <w:rFonts w:ascii="Garamond" w:hAnsi="Garamond"/>
                <w:b/>
                <w:bCs/>
                <w:sz w:val="22"/>
                <w:lang w:val="nl-NL"/>
              </w:rPr>
              <w:t>FEDERALE OVERHEIDSDIENST VOLKSGEZONDHEID, VEILIGHEID VAN DE VOEDSELKETEN EN LEEFMILIEU</w:t>
            </w:r>
          </w:p>
        </w:tc>
      </w:tr>
      <w:tr w:rsidR="00B022BA" w14:paraId="5C053C3F" w14:textId="77777777" w:rsidTr="0013508B">
        <w:tc>
          <w:tcPr>
            <w:tcW w:w="4496" w:type="dxa"/>
            <w:tcBorders>
              <w:top w:val="nil"/>
              <w:left w:val="nil"/>
              <w:bottom w:val="nil"/>
              <w:right w:val="nil"/>
            </w:tcBorders>
          </w:tcPr>
          <w:p w14:paraId="71A55DCF" w14:textId="77777777" w:rsidR="00B022BA" w:rsidRDefault="00B022BA" w:rsidP="0013508B">
            <w:pPr>
              <w:tabs>
                <w:tab w:val="left" w:pos="2268"/>
              </w:tabs>
              <w:jc w:val="center"/>
              <w:rPr>
                <w:rFonts w:ascii="Garamond" w:hAnsi="Garamond"/>
                <w:sz w:val="22"/>
              </w:rPr>
            </w:pPr>
            <w:r>
              <w:rPr>
                <w:rFonts w:ascii="Garamond" w:hAnsi="Garamond"/>
                <w:sz w:val="22"/>
              </w:rPr>
              <w:t>________________________</w:t>
            </w:r>
          </w:p>
        </w:tc>
        <w:tc>
          <w:tcPr>
            <w:tcW w:w="324" w:type="dxa"/>
            <w:tcBorders>
              <w:top w:val="nil"/>
              <w:left w:val="nil"/>
              <w:bottom w:val="nil"/>
              <w:right w:val="nil"/>
            </w:tcBorders>
          </w:tcPr>
          <w:p w14:paraId="700CC51C" w14:textId="77777777" w:rsidR="00B022BA" w:rsidRDefault="00B022BA" w:rsidP="0013508B">
            <w:pPr>
              <w:tabs>
                <w:tab w:val="left" w:pos="2410"/>
              </w:tabs>
              <w:rPr>
                <w:rFonts w:ascii="Garamond" w:hAnsi="Garamond"/>
                <w:b/>
                <w:sz w:val="22"/>
              </w:rPr>
            </w:pPr>
          </w:p>
        </w:tc>
        <w:tc>
          <w:tcPr>
            <w:tcW w:w="4463" w:type="dxa"/>
            <w:tcBorders>
              <w:top w:val="nil"/>
              <w:left w:val="nil"/>
              <w:bottom w:val="nil"/>
              <w:right w:val="nil"/>
            </w:tcBorders>
          </w:tcPr>
          <w:p w14:paraId="34F2A734" w14:textId="77777777" w:rsidR="00B022BA" w:rsidRPr="005A1493" w:rsidRDefault="00B022BA" w:rsidP="0013508B">
            <w:pPr>
              <w:tabs>
                <w:tab w:val="left" w:pos="2410"/>
              </w:tabs>
              <w:jc w:val="center"/>
              <w:rPr>
                <w:rFonts w:ascii="Garamond" w:hAnsi="Garamond"/>
                <w:bCs/>
                <w:sz w:val="22"/>
                <w:lang w:val="fr-BE"/>
              </w:rPr>
            </w:pPr>
            <w:r w:rsidRPr="005A1493">
              <w:rPr>
                <w:rFonts w:ascii="Garamond" w:hAnsi="Garamond"/>
                <w:sz w:val="22"/>
                <w:lang w:val="fr-BE"/>
              </w:rPr>
              <w:t>________________________</w:t>
            </w:r>
          </w:p>
        </w:tc>
      </w:tr>
      <w:tr w:rsidR="00B022BA" w14:paraId="0543E76E" w14:textId="77777777" w:rsidTr="0013508B">
        <w:tc>
          <w:tcPr>
            <w:tcW w:w="4496" w:type="dxa"/>
            <w:tcBorders>
              <w:top w:val="nil"/>
              <w:left w:val="nil"/>
              <w:bottom w:val="nil"/>
              <w:right w:val="nil"/>
            </w:tcBorders>
          </w:tcPr>
          <w:p w14:paraId="4FE52C3B" w14:textId="0DCECF9A" w:rsidR="00B022BA" w:rsidRDefault="00B022BA" w:rsidP="0013508B">
            <w:pPr>
              <w:tabs>
                <w:tab w:val="left" w:pos="2268"/>
              </w:tabs>
              <w:jc w:val="center"/>
              <w:rPr>
                <w:rFonts w:ascii="Garamond" w:hAnsi="Garamond"/>
                <w:sz w:val="22"/>
              </w:rPr>
            </w:pPr>
          </w:p>
        </w:tc>
        <w:tc>
          <w:tcPr>
            <w:tcW w:w="324" w:type="dxa"/>
            <w:tcBorders>
              <w:top w:val="nil"/>
              <w:left w:val="nil"/>
              <w:bottom w:val="nil"/>
              <w:right w:val="nil"/>
            </w:tcBorders>
          </w:tcPr>
          <w:p w14:paraId="25DEAA21" w14:textId="77777777" w:rsidR="00B022BA" w:rsidRDefault="00B022BA" w:rsidP="0013508B">
            <w:pPr>
              <w:tabs>
                <w:tab w:val="left" w:pos="2410"/>
              </w:tabs>
              <w:rPr>
                <w:rFonts w:ascii="Garamond" w:hAnsi="Garamond"/>
                <w:b/>
                <w:sz w:val="22"/>
              </w:rPr>
            </w:pPr>
          </w:p>
        </w:tc>
        <w:tc>
          <w:tcPr>
            <w:tcW w:w="4463" w:type="dxa"/>
            <w:tcBorders>
              <w:top w:val="nil"/>
              <w:left w:val="nil"/>
              <w:bottom w:val="nil"/>
              <w:right w:val="nil"/>
            </w:tcBorders>
          </w:tcPr>
          <w:p w14:paraId="6A316D88" w14:textId="77777777" w:rsidR="00B022BA" w:rsidRPr="005A1493" w:rsidRDefault="00B022BA" w:rsidP="0013508B">
            <w:pPr>
              <w:tabs>
                <w:tab w:val="left" w:pos="2410"/>
              </w:tabs>
              <w:jc w:val="center"/>
              <w:rPr>
                <w:rFonts w:ascii="Garamond" w:hAnsi="Garamond"/>
                <w:sz w:val="22"/>
                <w:lang w:val="fr-BE"/>
              </w:rPr>
            </w:pPr>
          </w:p>
        </w:tc>
      </w:tr>
      <w:tr w:rsidR="00B022BA" w:rsidRPr="004E5F07" w14:paraId="67514D98" w14:textId="77777777" w:rsidTr="0013508B">
        <w:tc>
          <w:tcPr>
            <w:tcW w:w="4496" w:type="dxa"/>
            <w:tcBorders>
              <w:top w:val="nil"/>
              <w:left w:val="nil"/>
              <w:bottom w:val="nil"/>
              <w:right w:val="nil"/>
            </w:tcBorders>
          </w:tcPr>
          <w:p w14:paraId="19122574" w14:textId="5F313BB2" w:rsidR="00B022BA" w:rsidRPr="004B7D74" w:rsidRDefault="008624C5" w:rsidP="004B7D74">
            <w:pPr>
              <w:tabs>
                <w:tab w:val="left" w:pos="2268"/>
              </w:tabs>
              <w:jc w:val="both"/>
              <w:rPr>
                <w:rFonts w:ascii="Garamond" w:hAnsi="Garamond"/>
                <w:b/>
                <w:bCs/>
                <w:sz w:val="22"/>
              </w:rPr>
            </w:pPr>
            <w:r w:rsidRPr="00F50C24">
              <w:rPr>
                <w:rFonts w:ascii="Garamond" w:hAnsi="Garamond"/>
                <w:b/>
                <w:bCs/>
                <w:sz w:val="22"/>
                <w:szCs w:val="22"/>
                <w:lang w:val="fr-BE"/>
              </w:rPr>
              <w:t xml:space="preserve">Arrêté royal relatif à la </w:t>
            </w:r>
            <w:r w:rsidR="00716F8A">
              <w:rPr>
                <w:rFonts w:ascii="Garamond" w:hAnsi="Garamond"/>
                <w:b/>
                <w:bCs/>
                <w:sz w:val="22"/>
                <w:szCs w:val="22"/>
                <w:lang w:val="fr-BE"/>
              </w:rPr>
              <w:t>notification</w:t>
            </w:r>
            <w:r w:rsidRPr="00F50C24">
              <w:rPr>
                <w:rFonts w:ascii="Garamond" w:hAnsi="Garamond"/>
                <w:b/>
                <w:bCs/>
                <w:sz w:val="22"/>
                <w:szCs w:val="22"/>
                <w:lang w:val="fr-BE"/>
              </w:rPr>
              <w:t xml:space="preserve"> des effets indésirables liés à l'utilisation de denrées alimentaires</w:t>
            </w:r>
          </w:p>
        </w:tc>
        <w:tc>
          <w:tcPr>
            <w:tcW w:w="324" w:type="dxa"/>
            <w:tcBorders>
              <w:top w:val="nil"/>
              <w:left w:val="nil"/>
              <w:bottom w:val="nil"/>
              <w:right w:val="nil"/>
            </w:tcBorders>
          </w:tcPr>
          <w:p w14:paraId="68339959" w14:textId="77777777" w:rsidR="00B022BA" w:rsidRPr="004B7D74" w:rsidRDefault="00B022BA" w:rsidP="00185852">
            <w:pPr>
              <w:tabs>
                <w:tab w:val="left" w:pos="2410"/>
              </w:tabs>
              <w:jc w:val="both"/>
              <w:rPr>
                <w:rFonts w:ascii="Garamond" w:hAnsi="Garamond"/>
                <w:b/>
                <w:bCs/>
                <w:sz w:val="22"/>
              </w:rPr>
            </w:pPr>
          </w:p>
        </w:tc>
        <w:tc>
          <w:tcPr>
            <w:tcW w:w="4463" w:type="dxa"/>
            <w:tcBorders>
              <w:top w:val="nil"/>
              <w:left w:val="nil"/>
              <w:bottom w:val="nil"/>
              <w:right w:val="nil"/>
            </w:tcBorders>
          </w:tcPr>
          <w:p w14:paraId="1E8ECCBE" w14:textId="22CEDE0A" w:rsidR="00B022BA" w:rsidRPr="00632F55" w:rsidRDefault="006C3DC2" w:rsidP="00632F55">
            <w:pPr>
              <w:tabs>
                <w:tab w:val="left" w:pos="2410"/>
              </w:tabs>
              <w:jc w:val="both"/>
              <w:rPr>
                <w:rFonts w:ascii="Garamond" w:hAnsi="Garamond"/>
                <w:b/>
                <w:bCs/>
                <w:sz w:val="22"/>
                <w:lang w:val="nl-NL"/>
              </w:rPr>
            </w:pPr>
            <w:r w:rsidRPr="006C3DC2">
              <w:rPr>
                <w:rFonts w:ascii="Garamond" w:hAnsi="Garamond"/>
                <w:b/>
                <w:bCs/>
                <w:sz w:val="22"/>
                <w:lang w:val="nl-NL"/>
              </w:rPr>
              <w:t xml:space="preserve">Koninklijk besluit betreffende de melding van bijwerkingen in verband met het gebruik van </w:t>
            </w:r>
            <w:r w:rsidR="00CB05FF">
              <w:rPr>
                <w:rFonts w:ascii="Garamond" w:hAnsi="Garamond"/>
                <w:b/>
                <w:bCs/>
                <w:sz w:val="22"/>
                <w:lang w:val="nl-NL"/>
              </w:rPr>
              <w:t>voedingsmiddelen</w:t>
            </w:r>
          </w:p>
        </w:tc>
      </w:tr>
      <w:tr w:rsidR="00B022BA" w:rsidRPr="004E5F07" w14:paraId="4095344A" w14:textId="77777777" w:rsidTr="0013508B">
        <w:tc>
          <w:tcPr>
            <w:tcW w:w="4496" w:type="dxa"/>
            <w:tcBorders>
              <w:top w:val="nil"/>
              <w:left w:val="nil"/>
              <w:bottom w:val="nil"/>
              <w:right w:val="nil"/>
            </w:tcBorders>
          </w:tcPr>
          <w:p w14:paraId="351A9F61" w14:textId="77777777" w:rsidR="00B022BA" w:rsidRPr="00632F55" w:rsidRDefault="00B022BA" w:rsidP="0013508B">
            <w:pPr>
              <w:rPr>
                <w:rFonts w:ascii="Garamond" w:hAnsi="Garamond"/>
                <w:b/>
                <w:sz w:val="22"/>
                <w:lang w:val="nl-NL"/>
              </w:rPr>
            </w:pPr>
          </w:p>
        </w:tc>
        <w:tc>
          <w:tcPr>
            <w:tcW w:w="324" w:type="dxa"/>
            <w:tcBorders>
              <w:top w:val="nil"/>
              <w:left w:val="nil"/>
              <w:bottom w:val="nil"/>
              <w:right w:val="nil"/>
            </w:tcBorders>
          </w:tcPr>
          <w:p w14:paraId="596119F0" w14:textId="77777777" w:rsidR="00B022BA" w:rsidRPr="00632F55" w:rsidRDefault="00B022BA" w:rsidP="0013508B">
            <w:pPr>
              <w:rPr>
                <w:rFonts w:ascii="Garamond" w:hAnsi="Garamond"/>
                <w:b/>
                <w:sz w:val="22"/>
                <w:lang w:val="nl-NL"/>
              </w:rPr>
            </w:pPr>
          </w:p>
        </w:tc>
        <w:tc>
          <w:tcPr>
            <w:tcW w:w="4463" w:type="dxa"/>
            <w:tcBorders>
              <w:top w:val="nil"/>
              <w:left w:val="nil"/>
              <w:bottom w:val="nil"/>
              <w:right w:val="nil"/>
            </w:tcBorders>
          </w:tcPr>
          <w:p w14:paraId="7D2CF3E3" w14:textId="77777777" w:rsidR="00B022BA" w:rsidRPr="00632F55" w:rsidRDefault="00B022BA" w:rsidP="0013508B">
            <w:pPr>
              <w:rPr>
                <w:rFonts w:ascii="Garamond" w:hAnsi="Garamond"/>
                <w:b/>
                <w:sz w:val="22"/>
                <w:lang w:val="nl-NL"/>
              </w:rPr>
            </w:pPr>
          </w:p>
        </w:tc>
      </w:tr>
      <w:tr w:rsidR="00632F55" w14:paraId="2DCEB761" w14:textId="77777777" w:rsidTr="0013508B">
        <w:tc>
          <w:tcPr>
            <w:tcW w:w="4496" w:type="dxa"/>
            <w:tcBorders>
              <w:top w:val="nil"/>
              <w:left w:val="nil"/>
              <w:bottom w:val="nil"/>
              <w:right w:val="nil"/>
            </w:tcBorders>
          </w:tcPr>
          <w:p w14:paraId="3703D938" w14:textId="3C27C857" w:rsidR="00632F55" w:rsidRPr="005A1493" w:rsidRDefault="00632F55" w:rsidP="00632F55">
            <w:pPr>
              <w:jc w:val="center"/>
              <w:rPr>
                <w:rFonts w:ascii="Garamond" w:hAnsi="Garamond"/>
                <w:b/>
                <w:sz w:val="22"/>
                <w:lang w:val="de-DE"/>
              </w:rPr>
            </w:pPr>
            <w:r>
              <w:rPr>
                <w:rFonts w:ascii="Garamond" w:hAnsi="Garamond"/>
                <w:b/>
                <w:sz w:val="22"/>
                <w:lang w:val="fr-BE"/>
              </w:rPr>
              <w:t>PHILIPPE</w:t>
            </w:r>
            <w:r w:rsidRPr="005A1493">
              <w:rPr>
                <w:rFonts w:ascii="Garamond" w:hAnsi="Garamond"/>
                <w:b/>
                <w:sz w:val="22"/>
                <w:lang w:val="fr-BE"/>
              </w:rPr>
              <w:t>, Roi des Belges</w:t>
            </w:r>
            <w:r w:rsidRPr="005A1493">
              <w:rPr>
                <w:rFonts w:ascii="Garamond" w:hAnsi="Garamond"/>
                <w:b/>
                <w:sz w:val="22"/>
                <w:lang w:val="de-DE"/>
              </w:rPr>
              <w:t>,</w:t>
            </w:r>
          </w:p>
        </w:tc>
        <w:tc>
          <w:tcPr>
            <w:tcW w:w="324" w:type="dxa"/>
            <w:tcBorders>
              <w:top w:val="nil"/>
              <w:left w:val="nil"/>
              <w:bottom w:val="nil"/>
              <w:right w:val="nil"/>
            </w:tcBorders>
          </w:tcPr>
          <w:p w14:paraId="29B1071F" w14:textId="77777777" w:rsidR="00632F55" w:rsidRPr="005A1493" w:rsidRDefault="00632F55" w:rsidP="00632F55">
            <w:pPr>
              <w:jc w:val="center"/>
              <w:rPr>
                <w:rFonts w:ascii="Garamond" w:hAnsi="Garamond"/>
                <w:bCs/>
                <w:sz w:val="22"/>
                <w:lang w:val="de-DE"/>
              </w:rPr>
            </w:pPr>
          </w:p>
        </w:tc>
        <w:tc>
          <w:tcPr>
            <w:tcW w:w="4463" w:type="dxa"/>
            <w:tcBorders>
              <w:top w:val="nil"/>
              <w:left w:val="nil"/>
              <w:bottom w:val="nil"/>
              <w:right w:val="nil"/>
            </w:tcBorders>
          </w:tcPr>
          <w:p w14:paraId="076AF892" w14:textId="20ABF3ED" w:rsidR="00632F55" w:rsidRPr="005A1493" w:rsidRDefault="00632F55" w:rsidP="00632F55">
            <w:pPr>
              <w:jc w:val="center"/>
              <w:rPr>
                <w:rFonts w:ascii="Garamond" w:hAnsi="Garamond"/>
                <w:bCs/>
                <w:sz w:val="22"/>
                <w:lang w:val="fr-BE"/>
              </w:rPr>
            </w:pPr>
            <w:r>
              <w:rPr>
                <w:rFonts w:ascii="Garamond" w:hAnsi="Garamond"/>
                <w:b/>
                <w:sz w:val="22"/>
                <w:lang w:val="de-DE"/>
              </w:rPr>
              <w:t>FILIP</w:t>
            </w:r>
            <w:r w:rsidRPr="005A1493">
              <w:rPr>
                <w:rFonts w:ascii="Garamond" w:hAnsi="Garamond"/>
                <w:b/>
                <w:sz w:val="22"/>
                <w:lang w:val="de-DE"/>
              </w:rPr>
              <w:t>, Koning der Belgen,</w:t>
            </w:r>
          </w:p>
        </w:tc>
      </w:tr>
      <w:tr w:rsidR="00632F55" w14:paraId="2117FEB6" w14:textId="77777777" w:rsidTr="0013508B">
        <w:tc>
          <w:tcPr>
            <w:tcW w:w="4496" w:type="dxa"/>
            <w:tcBorders>
              <w:top w:val="nil"/>
              <w:left w:val="nil"/>
              <w:bottom w:val="nil"/>
              <w:right w:val="nil"/>
            </w:tcBorders>
          </w:tcPr>
          <w:p w14:paraId="6E5DE2DF" w14:textId="77777777" w:rsidR="00632F55" w:rsidRDefault="00632F55" w:rsidP="00632F55">
            <w:pPr>
              <w:jc w:val="center"/>
              <w:rPr>
                <w:rFonts w:ascii="Garamond" w:hAnsi="Garamond"/>
                <w:bCs/>
                <w:sz w:val="22"/>
                <w:lang w:val="fr-BE"/>
              </w:rPr>
            </w:pPr>
          </w:p>
        </w:tc>
        <w:tc>
          <w:tcPr>
            <w:tcW w:w="324" w:type="dxa"/>
            <w:tcBorders>
              <w:top w:val="nil"/>
              <w:left w:val="nil"/>
              <w:bottom w:val="nil"/>
              <w:right w:val="nil"/>
            </w:tcBorders>
          </w:tcPr>
          <w:p w14:paraId="22D56EAA" w14:textId="77777777" w:rsidR="00632F55" w:rsidRDefault="00632F55" w:rsidP="00632F55">
            <w:pPr>
              <w:jc w:val="center"/>
              <w:rPr>
                <w:rFonts w:ascii="Garamond" w:hAnsi="Garamond"/>
                <w:bCs/>
                <w:sz w:val="22"/>
                <w:lang w:val="fr-BE"/>
              </w:rPr>
            </w:pPr>
          </w:p>
        </w:tc>
        <w:tc>
          <w:tcPr>
            <w:tcW w:w="4463" w:type="dxa"/>
            <w:tcBorders>
              <w:top w:val="nil"/>
              <w:left w:val="nil"/>
              <w:bottom w:val="nil"/>
              <w:right w:val="nil"/>
            </w:tcBorders>
          </w:tcPr>
          <w:p w14:paraId="710327BA" w14:textId="77777777" w:rsidR="00632F55" w:rsidRPr="005A1493" w:rsidRDefault="00632F55" w:rsidP="00632F55">
            <w:pPr>
              <w:jc w:val="center"/>
              <w:rPr>
                <w:rFonts w:ascii="Garamond" w:hAnsi="Garamond"/>
                <w:bCs/>
                <w:sz w:val="22"/>
                <w:lang w:val="fr-BE"/>
              </w:rPr>
            </w:pPr>
          </w:p>
        </w:tc>
      </w:tr>
      <w:tr w:rsidR="00632F55" w:rsidRPr="004E5F07" w14:paraId="787BF257" w14:textId="77777777" w:rsidTr="0013508B">
        <w:tc>
          <w:tcPr>
            <w:tcW w:w="4496" w:type="dxa"/>
            <w:tcBorders>
              <w:top w:val="nil"/>
              <w:left w:val="nil"/>
              <w:bottom w:val="nil"/>
              <w:right w:val="nil"/>
            </w:tcBorders>
          </w:tcPr>
          <w:p w14:paraId="30935493" w14:textId="7DDA9D15" w:rsidR="00632F55" w:rsidRPr="004B7D74" w:rsidRDefault="00632F55" w:rsidP="00632F55">
            <w:pPr>
              <w:pStyle w:val="Pieddepage"/>
              <w:tabs>
                <w:tab w:val="clear" w:pos="4536"/>
                <w:tab w:val="clear" w:pos="9072"/>
                <w:tab w:val="left" w:pos="356"/>
                <w:tab w:val="left" w:pos="2268"/>
              </w:tabs>
              <w:jc w:val="center"/>
              <w:rPr>
                <w:rFonts w:ascii="Garamond" w:hAnsi="Garamond"/>
                <w:sz w:val="22"/>
                <w:lang w:val="fr-BE"/>
              </w:rPr>
            </w:pPr>
            <w:r w:rsidRPr="005A1493">
              <w:rPr>
                <w:rFonts w:ascii="Garamond" w:hAnsi="Garamond"/>
                <w:sz w:val="22"/>
                <w:lang w:val="fr-BE"/>
              </w:rPr>
              <w:t>A tous, présents et à venir, Salut</w:t>
            </w:r>
            <w:r w:rsidRPr="004B7D74">
              <w:rPr>
                <w:rFonts w:ascii="Garamond" w:hAnsi="Garamond"/>
                <w:sz w:val="22"/>
                <w:lang w:val="fr-BE"/>
              </w:rPr>
              <w:t>.</w:t>
            </w:r>
          </w:p>
        </w:tc>
        <w:tc>
          <w:tcPr>
            <w:tcW w:w="324" w:type="dxa"/>
            <w:tcBorders>
              <w:top w:val="nil"/>
              <w:left w:val="nil"/>
              <w:bottom w:val="nil"/>
              <w:right w:val="nil"/>
            </w:tcBorders>
          </w:tcPr>
          <w:p w14:paraId="1F2057AF" w14:textId="77777777" w:rsidR="00632F55" w:rsidRPr="004B7D74" w:rsidRDefault="00632F55" w:rsidP="00632F55">
            <w:pPr>
              <w:pStyle w:val="Pieddepage"/>
              <w:tabs>
                <w:tab w:val="clear" w:pos="4536"/>
                <w:tab w:val="clear" w:pos="9072"/>
                <w:tab w:val="left" w:pos="567"/>
                <w:tab w:val="left" w:pos="2410"/>
              </w:tabs>
              <w:jc w:val="both"/>
              <w:rPr>
                <w:rFonts w:ascii="Garamond" w:hAnsi="Garamond"/>
                <w:sz w:val="22"/>
                <w:lang w:val="fr-BE"/>
              </w:rPr>
            </w:pPr>
          </w:p>
        </w:tc>
        <w:tc>
          <w:tcPr>
            <w:tcW w:w="4463" w:type="dxa"/>
            <w:tcBorders>
              <w:top w:val="nil"/>
              <w:left w:val="nil"/>
              <w:bottom w:val="nil"/>
              <w:right w:val="nil"/>
            </w:tcBorders>
          </w:tcPr>
          <w:p w14:paraId="36D0849B" w14:textId="019AC26E" w:rsidR="00632F55" w:rsidRPr="00632F55" w:rsidRDefault="00632F55" w:rsidP="00632F55">
            <w:pPr>
              <w:pStyle w:val="Pieddepage"/>
              <w:tabs>
                <w:tab w:val="clear" w:pos="4536"/>
                <w:tab w:val="clear" w:pos="9072"/>
                <w:tab w:val="left" w:pos="355"/>
                <w:tab w:val="left" w:pos="2410"/>
              </w:tabs>
              <w:jc w:val="center"/>
              <w:rPr>
                <w:rFonts w:ascii="Garamond" w:hAnsi="Garamond"/>
                <w:sz w:val="22"/>
                <w:lang w:val="nl-NL"/>
              </w:rPr>
            </w:pPr>
            <w:r>
              <w:rPr>
                <w:rFonts w:ascii="Garamond" w:hAnsi="Garamond"/>
                <w:sz w:val="22"/>
                <w:lang w:val="nl-NL"/>
              </w:rPr>
              <w:t>Aan allen die nu zijn en hierna wezen zullen, Onze Groet.</w:t>
            </w:r>
          </w:p>
        </w:tc>
      </w:tr>
      <w:tr w:rsidR="00632F55" w:rsidRPr="004E5F07" w14:paraId="720FD962" w14:textId="77777777" w:rsidTr="0013508B">
        <w:tc>
          <w:tcPr>
            <w:tcW w:w="4496" w:type="dxa"/>
            <w:tcBorders>
              <w:top w:val="nil"/>
              <w:left w:val="nil"/>
              <w:bottom w:val="nil"/>
              <w:right w:val="nil"/>
            </w:tcBorders>
          </w:tcPr>
          <w:p w14:paraId="460CF11C" w14:textId="77777777" w:rsidR="00632F55" w:rsidRPr="00632F55" w:rsidRDefault="00632F55" w:rsidP="00632F55">
            <w:pPr>
              <w:tabs>
                <w:tab w:val="left" w:pos="567"/>
                <w:tab w:val="left" w:pos="2268"/>
              </w:tabs>
              <w:rPr>
                <w:rFonts w:ascii="Garamond" w:hAnsi="Garamond"/>
                <w:sz w:val="22"/>
                <w:lang w:val="nl-NL"/>
              </w:rPr>
            </w:pPr>
          </w:p>
        </w:tc>
        <w:tc>
          <w:tcPr>
            <w:tcW w:w="324" w:type="dxa"/>
            <w:tcBorders>
              <w:top w:val="nil"/>
              <w:left w:val="nil"/>
              <w:bottom w:val="nil"/>
              <w:right w:val="nil"/>
            </w:tcBorders>
          </w:tcPr>
          <w:p w14:paraId="798AA299" w14:textId="77777777" w:rsidR="00632F55" w:rsidRPr="00632F55" w:rsidRDefault="00632F55" w:rsidP="00632F55">
            <w:pPr>
              <w:pStyle w:val="Titre1"/>
              <w:jc w:val="left"/>
              <w:rPr>
                <w:rFonts w:ascii="Garamond" w:hAnsi="Garamond"/>
                <w:sz w:val="22"/>
                <w:lang w:val="nl-NL"/>
              </w:rPr>
            </w:pPr>
          </w:p>
        </w:tc>
        <w:tc>
          <w:tcPr>
            <w:tcW w:w="4463" w:type="dxa"/>
            <w:tcBorders>
              <w:top w:val="nil"/>
              <w:left w:val="nil"/>
              <w:bottom w:val="nil"/>
              <w:right w:val="nil"/>
            </w:tcBorders>
          </w:tcPr>
          <w:p w14:paraId="568CC935" w14:textId="4D49127D" w:rsidR="00632F55" w:rsidRPr="00632F55" w:rsidRDefault="00632F55" w:rsidP="00632F55">
            <w:pPr>
              <w:rPr>
                <w:lang w:val="nl-NL"/>
              </w:rPr>
            </w:pPr>
          </w:p>
        </w:tc>
      </w:tr>
      <w:tr w:rsidR="00632F55" w:rsidRPr="004E5F07" w14:paraId="47102E8D" w14:textId="77777777" w:rsidTr="0099556C">
        <w:tc>
          <w:tcPr>
            <w:tcW w:w="4496" w:type="dxa"/>
            <w:tcBorders>
              <w:top w:val="nil"/>
              <w:left w:val="nil"/>
              <w:bottom w:val="nil"/>
              <w:right w:val="nil"/>
            </w:tcBorders>
          </w:tcPr>
          <w:p w14:paraId="5175031C" w14:textId="77777777" w:rsidR="00632F55" w:rsidRPr="007D5B70" w:rsidRDefault="00632F55" w:rsidP="00632F55">
            <w:pPr>
              <w:tabs>
                <w:tab w:val="left" w:pos="567"/>
                <w:tab w:val="left" w:pos="2268"/>
              </w:tabs>
              <w:rPr>
                <w:rFonts w:ascii="Garamond" w:hAnsi="Garamond"/>
                <w:sz w:val="22"/>
                <w:highlight w:val="yellow"/>
                <w:lang w:val="nl-NL"/>
              </w:rPr>
            </w:pPr>
          </w:p>
        </w:tc>
        <w:tc>
          <w:tcPr>
            <w:tcW w:w="324" w:type="dxa"/>
            <w:tcBorders>
              <w:top w:val="nil"/>
              <w:left w:val="nil"/>
              <w:bottom w:val="nil"/>
              <w:right w:val="nil"/>
            </w:tcBorders>
          </w:tcPr>
          <w:p w14:paraId="1105354C" w14:textId="77777777" w:rsidR="00632F55" w:rsidRPr="00632F55" w:rsidRDefault="00632F55" w:rsidP="00632F55">
            <w:pPr>
              <w:tabs>
                <w:tab w:val="left" w:pos="2410"/>
              </w:tabs>
              <w:rPr>
                <w:rFonts w:ascii="Garamond" w:hAnsi="Garamond"/>
                <w:sz w:val="22"/>
                <w:lang w:val="nl-NL"/>
              </w:rPr>
            </w:pPr>
          </w:p>
        </w:tc>
        <w:tc>
          <w:tcPr>
            <w:tcW w:w="4463" w:type="dxa"/>
            <w:tcBorders>
              <w:top w:val="nil"/>
              <w:left w:val="nil"/>
              <w:bottom w:val="nil"/>
              <w:right w:val="nil"/>
            </w:tcBorders>
          </w:tcPr>
          <w:p w14:paraId="0FDA5C36" w14:textId="77777777" w:rsidR="00632F55" w:rsidRPr="00632F55" w:rsidRDefault="00632F55" w:rsidP="00632F55">
            <w:pPr>
              <w:tabs>
                <w:tab w:val="left" w:pos="2410"/>
              </w:tabs>
              <w:rPr>
                <w:rFonts w:ascii="Garamond" w:hAnsi="Garamond"/>
                <w:sz w:val="22"/>
                <w:lang w:val="nl-NL"/>
              </w:rPr>
            </w:pPr>
          </w:p>
        </w:tc>
      </w:tr>
      <w:tr w:rsidR="00632F55" w:rsidRPr="004E5F07" w14:paraId="7D6BFFD3" w14:textId="77777777" w:rsidTr="0013508B">
        <w:trPr>
          <w:trHeight w:val="824"/>
        </w:trPr>
        <w:tc>
          <w:tcPr>
            <w:tcW w:w="4496" w:type="dxa"/>
            <w:tcBorders>
              <w:top w:val="nil"/>
              <w:left w:val="nil"/>
              <w:bottom w:val="nil"/>
              <w:right w:val="nil"/>
            </w:tcBorders>
          </w:tcPr>
          <w:p w14:paraId="65136A5A" w14:textId="11E10A48" w:rsidR="00632F55" w:rsidRPr="004B7D74" w:rsidRDefault="00632F55" w:rsidP="00632F55">
            <w:pPr>
              <w:tabs>
                <w:tab w:val="left" w:pos="356"/>
                <w:tab w:val="left" w:pos="2268"/>
              </w:tabs>
              <w:jc w:val="both"/>
              <w:rPr>
                <w:rFonts w:ascii="Garamond" w:hAnsi="Garamond"/>
                <w:sz w:val="22"/>
                <w:lang w:val="fr-BE"/>
              </w:rPr>
            </w:pPr>
            <w:r w:rsidRPr="00191D20">
              <w:rPr>
                <w:rFonts w:ascii="Garamond" w:hAnsi="Garamond"/>
                <w:sz w:val="22"/>
                <w:lang w:val="nl-BE"/>
              </w:rPr>
              <w:tab/>
            </w:r>
            <w:r w:rsidRPr="005A1493">
              <w:rPr>
                <w:rFonts w:ascii="Garamond" w:hAnsi="Garamond"/>
                <w:sz w:val="22"/>
                <w:lang w:val="fr-BE"/>
              </w:rPr>
              <w:t>Vu la loi du 24 janvier 1977 relative à la protection de la santé des consommateurs en ce qui concerne les denrées alimentaires et les autres produits,</w:t>
            </w:r>
            <w:r>
              <w:rPr>
                <w:rFonts w:ascii="Garamond" w:hAnsi="Garamond"/>
                <w:bCs/>
                <w:sz w:val="22"/>
                <w:lang w:val="fr-BE"/>
              </w:rPr>
              <w:t xml:space="preserve"> </w:t>
            </w:r>
            <w:r w:rsidR="008624C5">
              <w:rPr>
                <w:rFonts w:ascii="Garamond" w:hAnsi="Garamond"/>
                <w:bCs/>
                <w:sz w:val="22"/>
                <w:lang w:val="fr-BE"/>
              </w:rPr>
              <w:t>l’article 2, alinéa 6, inséré</w:t>
            </w:r>
            <w:r w:rsidR="00BB640F">
              <w:rPr>
                <w:rFonts w:ascii="Garamond" w:hAnsi="Garamond"/>
                <w:bCs/>
                <w:sz w:val="22"/>
                <w:lang w:val="fr-BE"/>
              </w:rPr>
              <w:t xml:space="preserve"> par la loi du </w:t>
            </w:r>
            <w:r w:rsidR="008624C5">
              <w:rPr>
                <w:rFonts w:ascii="Garamond" w:hAnsi="Garamond"/>
                <w:bCs/>
                <w:sz w:val="22"/>
                <w:lang w:val="fr-BE"/>
              </w:rPr>
              <w:t>12</w:t>
            </w:r>
            <w:r w:rsidR="00BB640F">
              <w:rPr>
                <w:rFonts w:ascii="Garamond" w:hAnsi="Garamond"/>
                <w:bCs/>
                <w:sz w:val="22"/>
                <w:lang w:val="fr-BE"/>
              </w:rPr>
              <w:t xml:space="preserve"> </w:t>
            </w:r>
            <w:r w:rsidR="008624C5">
              <w:rPr>
                <w:rFonts w:ascii="Garamond" w:hAnsi="Garamond"/>
                <w:bCs/>
                <w:sz w:val="22"/>
                <w:lang w:val="fr-BE"/>
              </w:rPr>
              <w:t>juillet 2022</w:t>
            </w:r>
            <w:r w:rsidR="00783E0F">
              <w:rPr>
                <w:rFonts w:ascii="Garamond" w:hAnsi="Garamond"/>
                <w:bCs/>
                <w:sz w:val="22"/>
                <w:lang w:val="fr-BE"/>
              </w:rPr>
              <w:t xml:space="preserve"> </w:t>
            </w:r>
            <w:r w:rsidR="00BB640F">
              <w:rPr>
                <w:rFonts w:ascii="Garamond" w:hAnsi="Garamond"/>
                <w:bCs/>
                <w:sz w:val="22"/>
                <w:lang w:val="fr-BE"/>
              </w:rPr>
              <w:t>;</w:t>
            </w:r>
          </w:p>
        </w:tc>
        <w:tc>
          <w:tcPr>
            <w:tcW w:w="324" w:type="dxa"/>
            <w:tcBorders>
              <w:top w:val="nil"/>
              <w:left w:val="nil"/>
              <w:bottom w:val="nil"/>
              <w:right w:val="nil"/>
            </w:tcBorders>
          </w:tcPr>
          <w:p w14:paraId="34E3F250" w14:textId="77777777" w:rsidR="00632F55" w:rsidRPr="004B7D74" w:rsidRDefault="00632F55" w:rsidP="00632F55">
            <w:pPr>
              <w:pStyle w:val="Titre1"/>
              <w:rPr>
                <w:rFonts w:ascii="Garamond" w:hAnsi="Garamond"/>
                <w:sz w:val="22"/>
                <w:lang w:val="fr-BE"/>
              </w:rPr>
            </w:pPr>
          </w:p>
        </w:tc>
        <w:tc>
          <w:tcPr>
            <w:tcW w:w="4463" w:type="dxa"/>
            <w:tcBorders>
              <w:top w:val="nil"/>
              <w:left w:val="nil"/>
              <w:bottom w:val="nil"/>
              <w:right w:val="nil"/>
            </w:tcBorders>
          </w:tcPr>
          <w:p w14:paraId="27D3A4F4" w14:textId="1A7AAD15" w:rsidR="00632F55" w:rsidRPr="00DC208E" w:rsidRDefault="00632F55" w:rsidP="00632F55">
            <w:pPr>
              <w:pStyle w:val="Titre1"/>
              <w:tabs>
                <w:tab w:val="clear" w:pos="567"/>
                <w:tab w:val="left" w:pos="355"/>
              </w:tabs>
              <w:rPr>
                <w:rFonts w:ascii="Garamond" w:hAnsi="Garamond"/>
                <w:sz w:val="22"/>
                <w:lang w:val="nl-NL"/>
              </w:rPr>
            </w:pPr>
            <w:r w:rsidRPr="004B7D74">
              <w:rPr>
                <w:rFonts w:ascii="Garamond" w:hAnsi="Garamond"/>
                <w:sz w:val="22"/>
                <w:lang w:val="fr-BE"/>
              </w:rPr>
              <w:tab/>
            </w:r>
            <w:r w:rsidR="00DC208E">
              <w:rPr>
                <w:rFonts w:ascii="Garamond" w:hAnsi="Garamond"/>
                <w:sz w:val="22"/>
                <w:lang w:val="nl-NL"/>
              </w:rPr>
              <w:t xml:space="preserve">Gelet op de wet van </w:t>
            </w:r>
            <w:r w:rsidR="00DC208E" w:rsidRPr="00BA70EC">
              <w:rPr>
                <w:rFonts w:ascii="Garamond" w:hAnsi="Garamond"/>
                <w:sz w:val="22"/>
                <w:lang w:val="nl-NL"/>
              </w:rPr>
              <w:t>24 januari 1977 betreffende de bescherming van de gezondheid van de verbruikers op het stuk van de v</w:t>
            </w:r>
            <w:r w:rsidR="00DC208E">
              <w:rPr>
                <w:rFonts w:ascii="Garamond" w:hAnsi="Garamond"/>
                <w:sz w:val="22"/>
                <w:lang w:val="nl-NL"/>
              </w:rPr>
              <w:t>oedingsmiddelen en andere produkten</w:t>
            </w:r>
            <w:r w:rsidR="00DC208E" w:rsidRPr="00700B62">
              <w:rPr>
                <w:rFonts w:ascii="Garamond" w:hAnsi="Garamond"/>
                <w:bCs/>
                <w:sz w:val="22"/>
                <w:lang w:val="nl-BE"/>
              </w:rPr>
              <w:t xml:space="preserve">, artikel 2, </w:t>
            </w:r>
            <w:r w:rsidR="009D758C">
              <w:rPr>
                <w:rFonts w:ascii="Garamond" w:hAnsi="Garamond"/>
                <w:bCs/>
                <w:sz w:val="22"/>
                <w:lang w:val="nl-BE"/>
              </w:rPr>
              <w:t>zesde l</w:t>
            </w:r>
            <w:r w:rsidR="008624C5">
              <w:rPr>
                <w:rFonts w:ascii="Garamond" w:hAnsi="Garamond"/>
                <w:bCs/>
                <w:sz w:val="22"/>
                <w:lang w:val="nl-BE"/>
              </w:rPr>
              <w:t>id</w:t>
            </w:r>
            <w:r w:rsidR="00DC208E" w:rsidRPr="00700B62">
              <w:rPr>
                <w:rFonts w:ascii="Garamond" w:hAnsi="Garamond"/>
                <w:bCs/>
                <w:sz w:val="22"/>
                <w:lang w:val="nl-BE"/>
              </w:rPr>
              <w:t xml:space="preserve">, </w:t>
            </w:r>
            <w:r w:rsidR="001B0E47">
              <w:rPr>
                <w:rFonts w:ascii="Garamond" w:hAnsi="Garamond"/>
                <w:bCs/>
                <w:sz w:val="22"/>
                <w:lang w:val="nl-BE"/>
              </w:rPr>
              <w:t>ingevoegd</w:t>
            </w:r>
            <w:r w:rsidR="00DC208E" w:rsidRPr="00AF546D">
              <w:rPr>
                <w:rFonts w:ascii="Garamond" w:hAnsi="Garamond"/>
                <w:bCs/>
                <w:sz w:val="22"/>
                <w:lang w:val="nl-BE"/>
              </w:rPr>
              <w:t xml:space="preserve"> bij </w:t>
            </w:r>
            <w:r w:rsidR="00DC208E">
              <w:rPr>
                <w:rFonts w:ascii="Garamond" w:hAnsi="Garamond"/>
                <w:bCs/>
                <w:sz w:val="22"/>
                <w:lang w:val="nl-BE"/>
              </w:rPr>
              <w:t xml:space="preserve">de wet </w:t>
            </w:r>
            <w:r w:rsidR="00DC208E" w:rsidRPr="00AF546D">
              <w:rPr>
                <w:rFonts w:ascii="Garamond" w:hAnsi="Garamond"/>
                <w:bCs/>
                <w:sz w:val="22"/>
                <w:lang w:val="nl-BE"/>
              </w:rPr>
              <w:t xml:space="preserve">van </w:t>
            </w:r>
            <w:r w:rsidR="008624C5">
              <w:rPr>
                <w:rFonts w:ascii="Garamond" w:hAnsi="Garamond"/>
                <w:bCs/>
                <w:sz w:val="22"/>
                <w:lang w:val="nl-BE"/>
              </w:rPr>
              <w:t>1</w:t>
            </w:r>
            <w:r w:rsidR="00DC208E" w:rsidRPr="00AF546D">
              <w:rPr>
                <w:rFonts w:ascii="Garamond" w:hAnsi="Garamond"/>
                <w:bCs/>
                <w:sz w:val="22"/>
                <w:lang w:val="nl-BE"/>
              </w:rPr>
              <w:t xml:space="preserve">2 </w:t>
            </w:r>
            <w:r w:rsidR="008624C5">
              <w:rPr>
                <w:rFonts w:ascii="Garamond" w:hAnsi="Garamond"/>
                <w:bCs/>
                <w:sz w:val="22"/>
                <w:lang w:val="nl-BE"/>
              </w:rPr>
              <w:t>juli 2022</w:t>
            </w:r>
            <w:r w:rsidR="00BB640F" w:rsidRPr="00700B62">
              <w:rPr>
                <w:rFonts w:ascii="Garamond" w:hAnsi="Garamond"/>
                <w:bCs/>
                <w:sz w:val="22"/>
                <w:lang w:val="nl-BE"/>
              </w:rPr>
              <w:t>;</w:t>
            </w:r>
          </w:p>
        </w:tc>
      </w:tr>
      <w:tr w:rsidR="001B0E47" w:rsidRPr="004E5F07" w14:paraId="7A9F6D66" w14:textId="77777777" w:rsidTr="0013508B">
        <w:tc>
          <w:tcPr>
            <w:tcW w:w="4496" w:type="dxa"/>
            <w:tcBorders>
              <w:top w:val="nil"/>
              <w:left w:val="nil"/>
              <w:bottom w:val="nil"/>
              <w:right w:val="nil"/>
            </w:tcBorders>
          </w:tcPr>
          <w:p w14:paraId="530F6E51" w14:textId="77777777" w:rsidR="001B0E47" w:rsidRPr="001B0E47" w:rsidRDefault="001B0E47" w:rsidP="001B0E47">
            <w:pPr>
              <w:tabs>
                <w:tab w:val="left" w:pos="356"/>
                <w:tab w:val="left" w:pos="2268"/>
              </w:tabs>
              <w:jc w:val="both"/>
              <w:rPr>
                <w:rFonts w:ascii="Garamond" w:hAnsi="Garamond"/>
                <w:sz w:val="22"/>
                <w:lang w:val="nl-BE"/>
              </w:rPr>
            </w:pPr>
          </w:p>
        </w:tc>
        <w:tc>
          <w:tcPr>
            <w:tcW w:w="324" w:type="dxa"/>
            <w:tcBorders>
              <w:top w:val="nil"/>
              <w:left w:val="nil"/>
              <w:bottom w:val="nil"/>
              <w:right w:val="nil"/>
            </w:tcBorders>
          </w:tcPr>
          <w:p w14:paraId="12080BD8" w14:textId="77777777" w:rsidR="001B0E47" w:rsidRPr="001B0E47" w:rsidRDefault="001B0E47" w:rsidP="001B0E47">
            <w:pPr>
              <w:tabs>
                <w:tab w:val="left" w:pos="2410"/>
              </w:tabs>
              <w:rPr>
                <w:rFonts w:ascii="Garamond" w:hAnsi="Garamond"/>
                <w:sz w:val="22"/>
                <w:lang w:val="nl-BE"/>
              </w:rPr>
            </w:pPr>
          </w:p>
        </w:tc>
        <w:tc>
          <w:tcPr>
            <w:tcW w:w="4463" w:type="dxa"/>
            <w:tcBorders>
              <w:top w:val="nil"/>
              <w:left w:val="nil"/>
              <w:bottom w:val="nil"/>
              <w:right w:val="nil"/>
            </w:tcBorders>
          </w:tcPr>
          <w:p w14:paraId="59BB1EF4" w14:textId="77777777" w:rsidR="001B0E47" w:rsidRPr="001B0E47" w:rsidRDefault="001B0E47" w:rsidP="001B0E47">
            <w:pPr>
              <w:tabs>
                <w:tab w:val="left" w:pos="355"/>
                <w:tab w:val="left" w:pos="2410"/>
              </w:tabs>
              <w:jc w:val="both"/>
              <w:rPr>
                <w:rFonts w:ascii="Garamond" w:hAnsi="Garamond"/>
                <w:sz w:val="22"/>
                <w:lang w:val="nl-BE"/>
              </w:rPr>
            </w:pPr>
          </w:p>
        </w:tc>
      </w:tr>
      <w:tr w:rsidR="001B0E47" w:rsidRPr="004E5F07" w14:paraId="7EA2A7CD" w14:textId="77777777" w:rsidTr="0013508B">
        <w:tc>
          <w:tcPr>
            <w:tcW w:w="4496" w:type="dxa"/>
            <w:tcBorders>
              <w:top w:val="nil"/>
              <w:left w:val="nil"/>
              <w:bottom w:val="nil"/>
              <w:right w:val="nil"/>
            </w:tcBorders>
          </w:tcPr>
          <w:p w14:paraId="7E7A7A3C" w14:textId="1E042B02" w:rsidR="001B0E47" w:rsidRPr="00C31B80" w:rsidRDefault="001B0E47" w:rsidP="001B0E47">
            <w:pPr>
              <w:tabs>
                <w:tab w:val="left" w:pos="356"/>
                <w:tab w:val="left" w:pos="2268"/>
              </w:tabs>
              <w:ind w:firstLine="284"/>
              <w:jc w:val="both"/>
              <w:rPr>
                <w:rFonts w:ascii="Garamond" w:hAnsi="Garamond"/>
                <w:sz w:val="22"/>
                <w:lang w:val="fr-BE"/>
              </w:rPr>
            </w:pPr>
            <w:r w:rsidRPr="00C97480">
              <w:rPr>
                <w:rFonts w:ascii="Garamond" w:hAnsi="Garamond"/>
                <w:sz w:val="22"/>
                <w:lang w:val="nl-BE"/>
              </w:rPr>
              <w:t xml:space="preserve"> </w:t>
            </w:r>
            <w:r w:rsidRPr="00C31B80">
              <w:rPr>
                <w:rFonts w:ascii="Garamond" w:hAnsi="Garamond"/>
                <w:sz w:val="22"/>
                <w:lang w:val="fr-BE"/>
              </w:rPr>
              <w:t xml:space="preserve">Vu l’avis du Conseil consultatif en matière de politique alimentaire et d’utilisation d’autres produits de consommation, donné le </w:t>
            </w:r>
            <w:r>
              <w:rPr>
                <w:rFonts w:ascii="Garamond" w:hAnsi="Garamond"/>
                <w:sz w:val="22"/>
                <w:lang w:val="fr-BE"/>
              </w:rPr>
              <w:t>14 février 2023</w:t>
            </w:r>
            <w:r w:rsidRPr="00C31B80">
              <w:rPr>
                <w:rFonts w:ascii="Garamond" w:hAnsi="Garamond"/>
                <w:sz w:val="22"/>
                <w:lang w:val="fr-BE"/>
              </w:rPr>
              <w:t>;</w:t>
            </w:r>
          </w:p>
        </w:tc>
        <w:tc>
          <w:tcPr>
            <w:tcW w:w="324" w:type="dxa"/>
            <w:tcBorders>
              <w:top w:val="nil"/>
              <w:left w:val="nil"/>
              <w:bottom w:val="nil"/>
              <w:right w:val="nil"/>
            </w:tcBorders>
          </w:tcPr>
          <w:p w14:paraId="3BB04DE7" w14:textId="77777777" w:rsidR="001B0E47" w:rsidRPr="004B7D74" w:rsidRDefault="001B0E47" w:rsidP="001B0E47">
            <w:pPr>
              <w:tabs>
                <w:tab w:val="left" w:pos="2410"/>
              </w:tabs>
              <w:rPr>
                <w:rFonts w:ascii="Garamond" w:hAnsi="Garamond"/>
                <w:sz w:val="22"/>
                <w:lang w:val="fr-BE"/>
              </w:rPr>
            </w:pPr>
          </w:p>
        </w:tc>
        <w:tc>
          <w:tcPr>
            <w:tcW w:w="4463" w:type="dxa"/>
            <w:tcBorders>
              <w:top w:val="nil"/>
              <w:left w:val="nil"/>
              <w:bottom w:val="nil"/>
              <w:right w:val="nil"/>
            </w:tcBorders>
          </w:tcPr>
          <w:p w14:paraId="75A9655D" w14:textId="7ACEECB8" w:rsidR="001B0E47" w:rsidRPr="004422E2" w:rsidRDefault="001B0E47" w:rsidP="001B0E47">
            <w:pPr>
              <w:tabs>
                <w:tab w:val="left" w:pos="355"/>
                <w:tab w:val="left" w:pos="2410"/>
              </w:tabs>
              <w:ind w:firstLine="279"/>
              <w:jc w:val="both"/>
              <w:rPr>
                <w:rFonts w:ascii="Garamond" w:hAnsi="Garamond"/>
                <w:sz w:val="22"/>
                <w:lang w:val="nl-NL"/>
              </w:rPr>
            </w:pPr>
            <w:r w:rsidRPr="00191D20">
              <w:rPr>
                <w:rFonts w:ascii="Garamond" w:hAnsi="Garamond"/>
                <w:sz w:val="22"/>
                <w:lang w:val="fr-BE"/>
              </w:rPr>
              <w:t xml:space="preserve"> </w:t>
            </w:r>
            <w:r w:rsidRPr="00093D0B">
              <w:rPr>
                <w:rFonts w:ascii="Garamond" w:hAnsi="Garamond"/>
                <w:sz w:val="22"/>
                <w:lang w:val="nl-NL"/>
              </w:rPr>
              <w:t>Gelet op het advies van de Adviesraad inzake voedingsbeleid en gebruik van andere consumptieproducten, gegeven o</w:t>
            </w:r>
            <w:r>
              <w:rPr>
                <w:rFonts w:ascii="Garamond" w:hAnsi="Garamond"/>
                <w:sz w:val="22"/>
                <w:lang w:val="nl-NL"/>
              </w:rPr>
              <w:t>p 14 februari 2023</w:t>
            </w:r>
            <w:r w:rsidRPr="004422E2">
              <w:rPr>
                <w:rFonts w:ascii="Garamond" w:hAnsi="Garamond"/>
                <w:sz w:val="22"/>
                <w:lang w:val="nl-NL"/>
              </w:rPr>
              <w:t>;</w:t>
            </w:r>
          </w:p>
        </w:tc>
      </w:tr>
      <w:tr w:rsidR="001B0E47" w:rsidRPr="004E5F07" w14:paraId="4C77723C" w14:textId="77777777" w:rsidTr="0013508B">
        <w:tc>
          <w:tcPr>
            <w:tcW w:w="4496" w:type="dxa"/>
            <w:tcBorders>
              <w:top w:val="nil"/>
              <w:left w:val="nil"/>
              <w:bottom w:val="nil"/>
              <w:right w:val="nil"/>
            </w:tcBorders>
          </w:tcPr>
          <w:p w14:paraId="4B2123B3" w14:textId="77777777" w:rsidR="001B0E47" w:rsidRPr="00C31B80" w:rsidRDefault="001B0E47" w:rsidP="001B0E47">
            <w:pPr>
              <w:tabs>
                <w:tab w:val="left" w:pos="356"/>
                <w:tab w:val="left" w:pos="2268"/>
              </w:tabs>
              <w:ind w:firstLine="284"/>
              <w:jc w:val="both"/>
              <w:rPr>
                <w:rFonts w:ascii="Garamond" w:hAnsi="Garamond"/>
                <w:sz w:val="22"/>
                <w:lang w:val="nl-NL"/>
              </w:rPr>
            </w:pPr>
          </w:p>
        </w:tc>
        <w:tc>
          <w:tcPr>
            <w:tcW w:w="324" w:type="dxa"/>
            <w:tcBorders>
              <w:top w:val="nil"/>
              <w:left w:val="nil"/>
              <w:bottom w:val="nil"/>
              <w:right w:val="nil"/>
            </w:tcBorders>
          </w:tcPr>
          <w:p w14:paraId="51637446" w14:textId="77777777" w:rsidR="001B0E47" w:rsidRPr="004422E2" w:rsidRDefault="001B0E47" w:rsidP="001B0E47">
            <w:pPr>
              <w:tabs>
                <w:tab w:val="left" w:pos="2410"/>
              </w:tabs>
              <w:rPr>
                <w:rFonts w:ascii="Garamond" w:hAnsi="Garamond"/>
                <w:sz w:val="22"/>
                <w:lang w:val="nl-NL"/>
              </w:rPr>
            </w:pPr>
          </w:p>
        </w:tc>
        <w:tc>
          <w:tcPr>
            <w:tcW w:w="4463" w:type="dxa"/>
            <w:tcBorders>
              <w:top w:val="nil"/>
              <w:left w:val="nil"/>
              <w:bottom w:val="nil"/>
              <w:right w:val="nil"/>
            </w:tcBorders>
          </w:tcPr>
          <w:p w14:paraId="6F7090FF" w14:textId="77777777" w:rsidR="001B0E47" w:rsidRPr="004422E2" w:rsidRDefault="001B0E47" w:rsidP="001B0E47">
            <w:pPr>
              <w:tabs>
                <w:tab w:val="left" w:pos="355"/>
                <w:tab w:val="left" w:pos="2410"/>
              </w:tabs>
              <w:ind w:firstLine="279"/>
              <w:jc w:val="both"/>
              <w:rPr>
                <w:rFonts w:ascii="Garamond" w:hAnsi="Garamond"/>
                <w:sz w:val="22"/>
                <w:lang w:val="nl-NL"/>
              </w:rPr>
            </w:pPr>
          </w:p>
        </w:tc>
      </w:tr>
      <w:tr w:rsidR="001B0E47" w:rsidRPr="004E5F07" w14:paraId="2018663E" w14:textId="77777777" w:rsidTr="0013508B">
        <w:tc>
          <w:tcPr>
            <w:tcW w:w="4496" w:type="dxa"/>
            <w:tcBorders>
              <w:top w:val="nil"/>
              <w:left w:val="nil"/>
              <w:bottom w:val="nil"/>
              <w:right w:val="nil"/>
            </w:tcBorders>
          </w:tcPr>
          <w:p w14:paraId="3A7958F5" w14:textId="5F8126F2" w:rsidR="001B0E47" w:rsidRPr="00C31B80" w:rsidRDefault="001B0E47" w:rsidP="001B0E47">
            <w:pPr>
              <w:tabs>
                <w:tab w:val="left" w:pos="356"/>
                <w:tab w:val="left" w:pos="2268"/>
              </w:tabs>
              <w:jc w:val="both"/>
              <w:rPr>
                <w:rFonts w:ascii="Garamond" w:hAnsi="Garamond"/>
                <w:sz w:val="22"/>
                <w:lang w:val="fr-BE"/>
              </w:rPr>
            </w:pPr>
            <w:r w:rsidRPr="00C31B80">
              <w:rPr>
                <w:rFonts w:ascii="Garamond" w:hAnsi="Garamond"/>
                <w:sz w:val="22"/>
                <w:lang w:val="nl-NL"/>
              </w:rPr>
              <w:tab/>
            </w:r>
            <w:r w:rsidRPr="00C31B80">
              <w:rPr>
                <w:rFonts w:ascii="Garamond" w:hAnsi="Garamond"/>
                <w:sz w:val="22"/>
              </w:rPr>
              <w:t>Vu l’avis de l’Inspecteur des Finances, donné le</w:t>
            </w:r>
            <w:r>
              <w:rPr>
                <w:rFonts w:ascii="Garamond" w:hAnsi="Garamond"/>
                <w:sz w:val="22"/>
              </w:rPr>
              <w:t xml:space="preserve"> XX XXX 2023</w:t>
            </w:r>
            <w:r w:rsidR="00783E0F">
              <w:rPr>
                <w:rFonts w:ascii="Garamond" w:hAnsi="Garamond"/>
                <w:sz w:val="22"/>
              </w:rPr>
              <w:t xml:space="preserve"> </w:t>
            </w:r>
            <w:r w:rsidRPr="00C31B80">
              <w:rPr>
                <w:rFonts w:ascii="Garamond" w:hAnsi="Garamond"/>
                <w:sz w:val="22"/>
              </w:rPr>
              <w:t>;</w:t>
            </w:r>
          </w:p>
        </w:tc>
        <w:tc>
          <w:tcPr>
            <w:tcW w:w="324" w:type="dxa"/>
            <w:tcBorders>
              <w:top w:val="nil"/>
              <w:left w:val="nil"/>
              <w:bottom w:val="nil"/>
              <w:right w:val="nil"/>
            </w:tcBorders>
          </w:tcPr>
          <w:p w14:paraId="5C5675CF" w14:textId="77777777" w:rsidR="001B0E47" w:rsidRPr="004B7D74" w:rsidRDefault="001B0E47" w:rsidP="001B0E47">
            <w:pPr>
              <w:tabs>
                <w:tab w:val="left" w:pos="2410"/>
              </w:tabs>
              <w:rPr>
                <w:rFonts w:ascii="Garamond" w:hAnsi="Garamond"/>
                <w:sz w:val="22"/>
                <w:lang w:val="fr-BE"/>
              </w:rPr>
            </w:pPr>
          </w:p>
        </w:tc>
        <w:tc>
          <w:tcPr>
            <w:tcW w:w="4463" w:type="dxa"/>
            <w:tcBorders>
              <w:top w:val="nil"/>
              <w:left w:val="nil"/>
              <w:bottom w:val="nil"/>
              <w:right w:val="nil"/>
            </w:tcBorders>
          </w:tcPr>
          <w:p w14:paraId="7BF278FC" w14:textId="10A5FEE4" w:rsidR="001B0E47" w:rsidRPr="004422E2" w:rsidRDefault="001B0E47" w:rsidP="001B0E47">
            <w:pPr>
              <w:tabs>
                <w:tab w:val="left" w:pos="355"/>
                <w:tab w:val="left" w:pos="2410"/>
              </w:tabs>
              <w:jc w:val="both"/>
              <w:rPr>
                <w:rFonts w:ascii="Garamond" w:hAnsi="Garamond"/>
                <w:sz w:val="22"/>
                <w:lang w:val="nl-NL"/>
              </w:rPr>
            </w:pPr>
            <w:r w:rsidRPr="00852A5C">
              <w:rPr>
                <w:rFonts w:ascii="Garamond" w:hAnsi="Garamond"/>
                <w:sz w:val="22"/>
                <w:lang w:val="fr-BE"/>
              </w:rPr>
              <w:tab/>
            </w:r>
            <w:r w:rsidRPr="00EF7513">
              <w:rPr>
                <w:rFonts w:ascii="Garamond" w:hAnsi="Garamond"/>
                <w:sz w:val="22"/>
                <w:lang w:val="nl-BE"/>
              </w:rPr>
              <w:t>Gelet op het advies van de inspecteur van Financi</w:t>
            </w:r>
            <w:r>
              <w:rPr>
                <w:rFonts w:ascii="Garamond" w:hAnsi="Garamond"/>
                <w:sz w:val="22"/>
                <w:lang w:val="nl-BE"/>
              </w:rPr>
              <w:t>ën, gegeven op XX XXX 2023</w:t>
            </w:r>
            <w:r w:rsidRPr="004422E2">
              <w:rPr>
                <w:rFonts w:ascii="Garamond" w:hAnsi="Garamond"/>
                <w:sz w:val="22"/>
                <w:lang w:val="nl-NL"/>
              </w:rPr>
              <w:t>;</w:t>
            </w:r>
          </w:p>
        </w:tc>
      </w:tr>
      <w:tr w:rsidR="001B0E47" w:rsidRPr="004E5F07" w14:paraId="69D75A87" w14:textId="77777777" w:rsidTr="0013508B">
        <w:tc>
          <w:tcPr>
            <w:tcW w:w="4496" w:type="dxa"/>
            <w:tcBorders>
              <w:top w:val="nil"/>
              <w:left w:val="nil"/>
              <w:bottom w:val="nil"/>
              <w:right w:val="nil"/>
            </w:tcBorders>
          </w:tcPr>
          <w:p w14:paraId="7779608C" w14:textId="77777777" w:rsidR="001B0E47" w:rsidRPr="004422E2" w:rsidRDefault="001B0E47" w:rsidP="001B0E47">
            <w:pPr>
              <w:tabs>
                <w:tab w:val="left" w:pos="356"/>
                <w:tab w:val="left" w:pos="2268"/>
              </w:tabs>
              <w:jc w:val="both"/>
              <w:rPr>
                <w:rFonts w:ascii="Garamond" w:hAnsi="Garamond"/>
                <w:sz w:val="22"/>
                <w:lang w:val="nl-NL"/>
              </w:rPr>
            </w:pPr>
          </w:p>
        </w:tc>
        <w:tc>
          <w:tcPr>
            <w:tcW w:w="324" w:type="dxa"/>
            <w:tcBorders>
              <w:top w:val="nil"/>
              <w:left w:val="nil"/>
              <w:bottom w:val="nil"/>
              <w:right w:val="nil"/>
            </w:tcBorders>
          </w:tcPr>
          <w:p w14:paraId="0679E482" w14:textId="77777777" w:rsidR="001B0E47" w:rsidRPr="00997685" w:rsidRDefault="001B0E47" w:rsidP="001B0E47">
            <w:pPr>
              <w:tabs>
                <w:tab w:val="left" w:pos="2410"/>
              </w:tabs>
              <w:rPr>
                <w:rFonts w:ascii="Garamond" w:hAnsi="Garamond"/>
                <w:sz w:val="22"/>
                <w:lang w:val="nl-BE"/>
              </w:rPr>
            </w:pPr>
          </w:p>
        </w:tc>
        <w:tc>
          <w:tcPr>
            <w:tcW w:w="4463" w:type="dxa"/>
            <w:tcBorders>
              <w:top w:val="nil"/>
              <w:left w:val="nil"/>
              <w:bottom w:val="nil"/>
              <w:right w:val="nil"/>
            </w:tcBorders>
          </w:tcPr>
          <w:p w14:paraId="0D3FF645" w14:textId="77777777" w:rsidR="001B0E47" w:rsidRPr="00997685" w:rsidRDefault="001B0E47" w:rsidP="001B0E47">
            <w:pPr>
              <w:tabs>
                <w:tab w:val="left" w:pos="355"/>
                <w:tab w:val="left" w:pos="2410"/>
              </w:tabs>
              <w:jc w:val="both"/>
              <w:rPr>
                <w:rFonts w:ascii="Garamond" w:hAnsi="Garamond"/>
                <w:sz w:val="22"/>
                <w:lang w:val="nl-BE"/>
              </w:rPr>
            </w:pPr>
          </w:p>
        </w:tc>
      </w:tr>
      <w:tr w:rsidR="001B0E47" w:rsidRPr="004E5F07" w14:paraId="675258B0" w14:textId="77777777" w:rsidTr="0013508B">
        <w:tc>
          <w:tcPr>
            <w:tcW w:w="4496" w:type="dxa"/>
            <w:tcBorders>
              <w:top w:val="nil"/>
              <w:left w:val="nil"/>
              <w:bottom w:val="nil"/>
              <w:right w:val="nil"/>
            </w:tcBorders>
          </w:tcPr>
          <w:p w14:paraId="0944FA8D" w14:textId="0941CB81" w:rsidR="00CB05FF" w:rsidRPr="00933707" w:rsidRDefault="001B0E47" w:rsidP="00191D20">
            <w:pPr>
              <w:tabs>
                <w:tab w:val="left" w:pos="356"/>
                <w:tab w:val="left" w:pos="2268"/>
              </w:tabs>
              <w:jc w:val="both"/>
              <w:rPr>
                <w:rFonts w:ascii="Garamond" w:hAnsi="Garamond"/>
                <w:sz w:val="22"/>
                <w:szCs w:val="22"/>
                <w:lang w:val="fr-BE"/>
              </w:rPr>
            </w:pPr>
            <w:r w:rsidRPr="004422E2">
              <w:rPr>
                <w:rFonts w:ascii="Garamond" w:hAnsi="Garamond"/>
                <w:sz w:val="22"/>
                <w:lang w:val="nl-NL"/>
              </w:rPr>
              <w:tab/>
            </w:r>
            <w:r w:rsidRPr="00EF7513">
              <w:rPr>
                <w:rFonts w:ascii="Garamond" w:hAnsi="Garamond"/>
                <w:sz w:val="22"/>
                <w:lang w:val="fr-BE"/>
              </w:rPr>
              <w:t xml:space="preserve">Vu l’avis </w:t>
            </w:r>
            <w:r>
              <w:rPr>
                <w:rFonts w:ascii="Garamond" w:hAnsi="Garamond"/>
                <w:sz w:val="22"/>
                <w:lang w:val="fr-BE"/>
              </w:rPr>
              <w:t xml:space="preserve">xxx </w:t>
            </w:r>
            <w:r w:rsidRPr="00EF7513">
              <w:rPr>
                <w:rFonts w:ascii="Garamond" w:hAnsi="Garamond"/>
                <w:sz w:val="22"/>
                <w:lang w:val="fr-BE"/>
              </w:rPr>
              <w:t>du Conseil d’État, donné le</w:t>
            </w:r>
            <w:r>
              <w:rPr>
                <w:rFonts w:ascii="Garamond" w:hAnsi="Garamond"/>
                <w:sz w:val="22"/>
                <w:lang w:val="fr-BE"/>
              </w:rPr>
              <w:t xml:space="preserve"> XX XXX 2023</w:t>
            </w:r>
            <w:r w:rsidRPr="00A2550D">
              <w:rPr>
                <w:rFonts w:ascii="Garamond" w:hAnsi="Garamond"/>
                <w:sz w:val="22"/>
                <w:lang w:val="fr-BE"/>
              </w:rPr>
              <w:t>, en applic</w:t>
            </w:r>
            <w:r w:rsidRPr="00EF7513">
              <w:rPr>
                <w:rFonts w:ascii="Garamond" w:hAnsi="Garamond"/>
                <w:sz w:val="22"/>
                <w:lang w:val="fr-BE"/>
              </w:rPr>
              <w:t>ation de l’article 84, §1</w:t>
            </w:r>
            <w:r w:rsidRPr="00EE774A">
              <w:rPr>
                <w:rFonts w:ascii="Garamond" w:hAnsi="Garamond"/>
                <w:sz w:val="22"/>
                <w:vertAlign w:val="superscript"/>
                <w:lang w:val="fr-BE"/>
              </w:rPr>
              <w:t>er</w:t>
            </w:r>
            <w:r>
              <w:rPr>
                <w:rFonts w:ascii="Garamond" w:hAnsi="Garamond"/>
                <w:sz w:val="22"/>
                <w:lang w:val="fr-BE"/>
              </w:rPr>
              <w:t xml:space="preserve">, </w:t>
            </w:r>
            <w:r w:rsidRPr="00EF7513">
              <w:rPr>
                <w:rFonts w:ascii="Garamond" w:hAnsi="Garamond"/>
                <w:sz w:val="22"/>
                <w:lang w:val="fr-BE"/>
              </w:rPr>
              <w:t xml:space="preserve"> alinéa 1</w:t>
            </w:r>
            <w:r w:rsidRPr="00EE774A">
              <w:rPr>
                <w:rFonts w:ascii="Garamond" w:hAnsi="Garamond"/>
                <w:sz w:val="22"/>
                <w:vertAlign w:val="superscript"/>
                <w:lang w:val="fr-BE"/>
              </w:rPr>
              <w:t>er</w:t>
            </w:r>
            <w:r>
              <w:rPr>
                <w:rFonts w:ascii="Garamond" w:hAnsi="Garamond"/>
                <w:sz w:val="22"/>
                <w:lang w:val="fr-BE"/>
              </w:rPr>
              <w:t xml:space="preserve">, </w:t>
            </w:r>
            <w:r w:rsidRPr="00EF7513">
              <w:rPr>
                <w:rFonts w:ascii="Garamond" w:hAnsi="Garamond"/>
                <w:sz w:val="22"/>
                <w:lang w:val="fr-BE"/>
              </w:rPr>
              <w:t>2°, des lois sur le Conseil d’État, coordonnées le 12 janvier 1973</w:t>
            </w:r>
            <w:r w:rsidR="00783E0F">
              <w:rPr>
                <w:rFonts w:ascii="Garamond" w:hAnsi="Garamond"/>
                <w:sz w:val="22"/>
                <w:lang w:val="fr-BE"/>
              </w:rPr>
              <w:t xml:space="preserve"> </w:t>
            </w:r>
            <w:r>
              <w:t>;</w:t>
            </w:r>
          </w:p>
        </w:tc>
        <w:tc>
          <w:tcPr>
            <w:tcW w:w="324" w:type="dxa"/>
            <w:tcBorders>
              <w:top w:val="nil"/>
              <w:left w:val="nil"/>
              <w:bottom w:val="nil"/>
              <w:right w:val="nil"/>
            </w:tcBorders>
          </w:tcPr>
          <w:p w14:paraId="364CB6F5" w14:textId="77777777" w:rsidR="001B0E47" w:rsidRPr="004B7D74" w:rsidRDefault="001B0E47" w:rsidP="001B0E47">
            <w:pPr>
              <w:tabs>
                <w:tab w:val="left" w:pos="2410"/>
              </w:tabs>
              <w:rPr>
                <w:rFonts w:ascii="Garamond" w:hAnsi="Garamond"/>
                <w:sz w:val="22"/>
                <w:lang w:val="fr-BE"/>
              </w:rPr>
            </w:pPr>
          </w:p>
        </w:tc>
        <w:tc>
          <w:tcPr>
            <w:tcW w:w="4463" w:type="dxa"/>
            <w:tcBorders>
              <w:top w:val="nil"/>
              <w:left w:val="nil"/>
              <w:bottom w:val="nil"/>
              <w:right w:val="nil"/>
            </w:tcBorders>
          </w:tcPr>
          <w:p w14:paraId="3813B6A3" w14:textId="659DF090" w:rsidR="00191D20" w:rsidRPr="00191D20" w:rsidRDefault="001B0E47" w:rsidP="00191D20">
            <w:pPr>
              <w:tabs>
                <w:tab w:val="left" w:pos="355"/>
                <w:tab w:val="left" w:pos="2410"/>
              </w:tabs>
              <w:jc w:val="both"/>
              <w:rPr>
                <w:rFonts w:ascii="Garamond" w:hAnsi="Garamond"/>
                <w:sz w:val="22"/>
                <w:lang w:val="nl-NL"/>
              </w:rPr>
            </w:pPr>
            <w:r w:rsidRPr="004B7D74">
              <w:rPr>
                <w:rFonts w:ascii="Garamond" w:hAnsi="Garamond"/>
                <w:sz w:val="22"/>
                <w:lang w:val="fr-BE"/>
              </w:rPr>
              <w:tab/>
            </w:r>
            <w:r w:rsidRPr="00EF7513">
              <w:rPr>
                <w:rFonts w:ascii="Garamond" w:hAnsi="Garamond"/>
                <w:sz w:val="22"/>
                <w:lang w:val="nl-NL"/>
              </w:rPr>
              <w:t xml:space="preserve">Gelet op advies </w:t>
            </w:r>
            <w:r>
              <w:rPr>
                <w:rFonts w:ascii="Garamond" w:hAnsi="Garamond"/>
                <w:sz w:val="22"/>
                <w:lang w:val="nl-NL"/>
              </w:rPr>
              <w:t>xxx</w:t>
            </w:r>
            <w:r w:rsidRPr="00EF7513">
              <w:rPr>
                <w:rFonts w:ascii="Garamond" w:hAnsi="Garamond"/>
                <w:sz w:val="22"/>
                <w:lang w:val="nl-NL"/>
              </w:rPr>
              <w:t xml:space="preserve"> van de Raad van State, gegeven op </w:t>
            </w:r>
            <w:r>
              <w:rPr>
                <w:rFonts w:ascii="Garamond" w:hAnsi="Garamond"/>
                <w:sz w:val="22"/>
                <w:lang w:val="nl-NL"/>
              </w:rPr>
              <w:t>XX XXX 2023</w:t>
            </w:r>
            <w:r w:rsidRPr="00A2550D">
              <w:rPr>
                <w:rFonts w:ascii="Garamond" w:hAnsi="Garamond"/>
                <w:sz w:val="22"/>
                <w:lang w:val="nl-NL"/>
              </w:rPr>
              <w:t>, met toepassing van artikel</w:t>
            </w:r>
            <w:r w:rsidRPr="00EF7513">
              <w:rPr>
                <w:rFonts w:ascii="Garamond" w:hAnsi="Garamond"/>
                <w:sz w:val="22"/>
                <w:lang w:val="nl-NL"/>
              </w:rPr>
              <w:t xml:space="preserve"> 84, §1, eerste lid, 2°, van de gecoördineerde wetten op de Raad van State, gecoördineerd op 12 januari 1973;</w:t>
            </w:r>
          </w:p>
        </w:tc>
      </w:tr>
      <w:tr w:rsidR="00191D20" w:rsidRPr="004E5F07" w14:paraId="69011EBC" w14:textId="77777777" w:rsidTr="0013508B">
        <w:tc>
          <w:tcPr>
            <w:tcW w:w="4496" w:type="dxa"/>
            <w:tcBorders>
              <w:top w:val="nil"/>
              <w:left w:val="nil"/>
              <w:bottom w:val="nil"/>
              <w:right w:val="nil"/>
            </w:tcBorders>
          </w:tcPr>
          <w:p w14:paraId="526C842E" w14:textId="77777777" w:rsidR="00191D20" w:rsidRPr="004422E2" w:rsidRDefault="00191D20" w:rsidP="001B0E47">
            <w:pPr>
              <w:tabs>
                <w:tab w:val="left" w:pos="356"/>
                <w:tab w:val="left" w:pos="2268"/>
              </w:tabs>
              <w:jc w:val="both"/>
              <w:rPr>
                <w:rFonts w:ascii="Garamond" w:hAnsi="Garamond"/>
                <w:sz w:val="22"/>
                <w:lang w:val="nl-NL"/>
              </w:rPr>
            </w:pPr>
          </w:p>
        </w:tc>
        <w:tc>
          <w:tcPr>
            <w:tcW w:w="324" w:type="dxa"/>
            <w:tcBorders>
              <w:top w:val="nil"/>
              <w:left w:val="nil"/>
              <w:bottom w:val="nil"/>
              <w:right w:val="nil"/>
            </w:tcBorders>
          </w:tcPr>
          <w:p w14:paraId="2817AFB4" w14:textId="77777777" w:rsidR="00191D20" w:rsidRPr="00674E2E" w:rsidRDefault="00191D20" w:rsidP="001B0E47">
            <w:pPr>
              <w:tabs>
                <w:tab w:val="left" w:pos="2410"/>
              </w:tabs>
              <w:rPr>
                <w:rFonts w:ascii="Garamond" w:hAnsi="Garamond"/>
                <w:sz w:val="22"/>
                <w:lang w:val="nl-BE"/>
              </w:rPr>
            </w:pPr>
          </w:p>
        </w:tc>
        <w:tc>
          <w:tcPr>
            <w:tcW w:w="4463" w:type="dxa"/>
            <w:tcBorders>
              <w:top w:val="nil"/>
              <w:left w:val="nil"/>
              <w:bottom w:val="nil"/>
              <w:right w:val="nil"/>
            </w:tcBorders>
          </w:tcPr>
          <w:p w14:paraId="2FBC61CF" w14:textId="77777777" w:rsidR="00191D20" w:rsidRPr="00674E2E" w:rsidRDefault="00191D20" w:rsidP="001B0E47">
            <w:pPr>
              <w:tabs>
                <w:tab w:val="left" w:pos="355"/>
                <w:tab w:val="left" w:pos="2410"/>
              </w:tabs>
              <w:jc w:val="both"/>
              <w:rPr>
                <w:rFonts w:ascii="Garamond" w:hAnsi="Garamond"/>
                <w:sz w:val="22"/>
                <w:lang w:val="nl-BE"/>
              </w:rPr>
            </w:pPr>
          </w:p>
        </w:tc>
      </w:tr>
      <w:tr w:rsidR="00191D20" w:rsidRPr="004E5F07" w14:paraId="28C99B5B" w14:textId="77777777" w:rsidTr="0013508B">
        <w:tc>
          <w:tcPr>
            <w:tcW w:w="4496" w:type="dxa"/>
            <w:tcBorders>
              <w:top w:val="nil"/>
              <w:left w:val="nil"/>
              <w:bottom w:val="nil"/>
              <w:right w:val="nil"/>
            </w:tcBorders>
          </w:tcPr>
          <w:p w14:paraId="6C1F5219" w14:textId="1F21F24E" w:rsidR="00191D20" w:rsidRPr="00191D20" w:rsidRDefault="00191D20" w:rsidP="001B0E47">
            <w:pPr>
              <w:tabs>
                <w:tab w:val="left" w:pos="356"/>
                <w:tab w:val="left" w:pos="2268"/>
              </w:tabs>
              <w:jc w:val="both"/>
              <w:rPr>
                <w:rFonts w:ascii="Garamond" w:hAnsi="Garamond"/>
                <w:sz w:val="22"/>
                <w:lang w:val="fr-BE"/>
              </w:rPr>
            </w:pPr>
            <w:r w:rsidRPr="00674E2E">
              <w:rPr>
                <w:rFonts w:ascii="Garamond" w:hAnsi="Garamond"/>
                <w:sz w:val="22"/>
                <w:lang w:val="nl-BE"/>
              </w:rPr>
              <w:tab/>
            </w:r>
            <w:r w:rsidRPr="00550B34">
              <w:rPr>
                <w:rFonts w:ascii="Garamond" w:hAnsi="Garamond"/>
                <w:sz w:val="22"/>
                <w:szCs w:val="22"/>
              </w:rPr>
              <w:t>Considérant le règlement</w:t>
            </w:r>
            <w:r>
              <w:rPr>
                <w:rFonts w:ascii="Garamond" w:hAnsi="Garamond"/>
                <w:sz w:val="22"/>
                <w:szCs w:val="22"/>
              </w:rPr>
              <w:t xml:space="preserve"> </w:t>
            </w:r>
            <w:r w:rsidRPr="00550B34">
              <w:rPr>
                <w:rFonts w:ascii="Garamond" w:hAnsi="Garamond"/>
                <w:sz w:val="22"/>
                <w:szCs w:val="22"/>
              </w:rPr>
              <w:t>(UE)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Pr>
                <w:rFonts w:ascii="Garamond" w:hAnsi="Garamond"/>
                <w:sz w:val="22"/>
                <w:szCs w:val="22"/>
              </w:rPr>
              <w:t> ;</w:t>
            </w:r>
          </w:p>
        </w:tc>
        <w:tc>
          <w:tcPr>
            <w:tcW w:w="324" w:type="dxa"/>
            <w:tcBorders>
              <w:top w:val="nil"/>
              <w:left w:val="nil"/>
              <w:bottom w:val="nil"/>
              <w:right w:val="nil"/>
            </w:tcBorders>
          </w:tcPr>
          <w:p w14:paraId="089D8850" w14:textId="77777777" w:rsidR="00191D20" w:rsidRPr="004B7D74" w:rsidRDefault="00191D20" w:rsidP="001B0E47">
            <w:pPr>
              <w:tabs>
                <w:tab w:val="left" w:pos="2410"/>
              </w:tabs>
              <w:rPr>
                <w:rFonts w:ascii="Garamond" w:hAnsi="Garamond"/>
                <w:sz w:val="22"/>
                <w:lang w:val="fr-BE"/>
              </w:rPr>
            </w:pPr>
          </w:p>
        </w:tc>
        <w:tc>
          <w:tcPr>
            <w:tcW w:w="4463" w:type="dxa"/>
            <w:tcBorders>
              <w:top w:val="nil"/>
              <w:left w:val="nil"/>
              <w:bottom w:val="nil"/>
              <w:right w:val="nil"/>
            </w:tcBorders>
          </w:tcPr>
          <w:p w14:paraId="1E832906" w14:textId="74595A9F" w:rsidR="00191D20" w:rsidRPr="00191D20" w:rsidRDefault="00191D20" w:rsidP="001B0E47">
            <w:pPr>
              <w:tabs>
                <w:tab w:val="left" w:pos="355"/>
                <w:tab w:val="left" w:pos="2410"/>
              </w:tabs>
              <w:jc w:val="both"/>
              <w:rPr>
                <w:rFonts w:ascii="Garamond" w:hAnsi="Garamond"/>
                <w:sz w:val="22"/>
                <w:lang w:val="nl-BE"/>
              </w:rPr>
            </w:pPr>
            <w:r w:rsidRPr="00852A5C">
              <w:rPr>
                <w:rFonts w:ascii="Garamond" w:hAnsi="Garamond"/>
                <w:sz w:val="22"/>
                <w:lang w:val="fr-BE"/>
              </w:rPr>
              <w:tab/>
            </w:r>
            <w:r w:rsidRPr="00550B34">
              <w:rPr>
                <w:rFonts w:ascii="Garamond" w:hAnsi="Garamond" w:cs="Arial"/>
                <w:sz w:val="22"/>
                <w:szCs w:val="22"/>
                <w:lang w:val="nl-BE"/>
              </w:rPr>
              <w:t>Overwegende</w:t>
            </w:r>
            <w:r>
              <w:rPr>
                <w:rFonts w:ascii="Garamond" w:hAnsi="Garamond" w:cs="Arial"/>
                <w:sz w:val="22"/>
                <w:szCs w:val="22"/>
                <w:lang w:val="nl-BE"/>
              </w:rPr>
              <w:t xml:space="preserve"> </w:t>
            </w:r>
            <w:r w:rsidRPr="00933707">
              <w:rPr>
                <w:rFonts w:ascii="Garamond" w:hAnsi="Garamond" w:cs="Arial"/>
                <w:sz w:val="22"/>
                <w:szCs w:val="22"/>
                <w:lang w:val="nl-BE"/>
              </w:rPr>
              <w:t xml:space="preserve"> </w:t>
            </w:r>
            <w:r>
              <w:rPr>
                <w:rFonts w:ascii="Garamond" w:hAnsi="Garamond" w:cs="Arial"/>
                <w:sz w:val="22"/>
                <w:szCs w:val="22"/>
                <w:lang w:val="nl-BE"/>
              </w:rPr>
              <w:t>v</w:t>
            </w:r>
            <w:r w:rsidRPr="00550B34">
              <w:rPr>
                <w:rFonts w:ascii="Garamond" w:hAnsi="Garamond" w:cs="Arial"/>
                <w:sz w:val="22"/>
                <w:szCs w:val="22"/>
                <w:lang w:val="nl-BE"/>
              </w:rPr>
              <w:t>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Pr>
                <w:rFonts w:ascii="Garamond" w:hAnsi="Garamond"/>
                <w:sz w:val="22"/>
                <w:szCs w:val="22"/>
                <w:lang w:val="nl-NL"/>
              </w:rPr>
              <w:t>;</w:t>
            </w:r>
          </w:p>
        </w:tc>
      </w:tr>
      <w:tr w:rsidR="001B0E47" w:rsidRPr="004E5F07" w14:paraId="1EBE20D5" w14:textId="77777777" w:rsidTr="0013508B">
        <w:tc>
          <w:tcPr>
            <w:tcW w:w="4496" w:type="dxa"/>
            <w:tcBorders>
              <w:top w:val="nil"/>
              <w:left w:val="nil"/>
              <w:bottom w:val="nil"/>
              <w:right w:val="nil"/>
            </w:tcBorders>
          </w:tcPr>
          <w:p w14:paraId="18C56C54" w14:textId="77777777" w:rsidR="001B0E47" w:rsidRPr="004422E2" w:rsidRDefault="001B0E47" w:rsidP="001B0E47">
            <w:pPr>
              <w:tabs>
                <w:tab w:val="left" w:pos="356"/>
                <w:tab w:val="left" w:pos="2268"/>
              </w:tabs>
              <w:jc w:val="both"/>
              <w:rPr>
                <w:rFonts w:ascii="Garamond" w:hAnsi="Garamond"/>
                <w:sz w:val="22"/>
                <w:lang w:val="nl-NL"/>
              </w:rPr>
            </w:pPr>
          </w:p>
        </w:tc>
        <w:tc>
          <w:tcPr>
            <w:tcW w:w="324" w:type="dxa"/>
            <w:tcBorders>
              <w:top w:val="nil"/>
              <w:left w:val="nil"/>
              <w:bottom w:val="nil"/>
              <w:right w:val="nil"/>
            </w:tcBorders>
          </w:tcPr>
          <w:p w14:paraId="68D99C3E" w14:textId="77777777" w:rsidR="001B0E47" w:rsidRPr="004422E2" w:rsidRDefault="001B0E47" w:rsidP="001B0E47">
            <w:pPr>
              <w:tabs>
                <w:tab w:val="left" w:pos="2410"/>
              </w:tabs>
              <w:rPr>
                <w:rFonts w:ascii="Garamond" w:hAnsi="Garamond"/>
                <w:sz w:val="22"/>
                <w:lang w:val="nl-NL"/>
              </w:rPr>
            </w:pPr>
          </w:p>
        </w:tc>
        <w:tc>
          <w:tcPr>
            <w:tcW w:w="4463" w:type="dxa"/>
            <w:tcBorders>
              <w:top w:val="nil"/>
              <w:left w:val="nil"/>
              <w:bottom w:val="nil"/>
              <w:right w:val="nil"/>
            </w:tcBorders>
          </w:tcPr>
          <w:p w14:paraId="7F4BEC88" w14:textId="77777777" w:rsidR="001B0E47" w:rsidRPr="004422E2" w:rsidRDefault="001B0E47" w:rsidP="001B0E47">
            <w:pPr>
              <w:tabs>
                <w:tab w:val="left" w:pos="355"/>
                <w:tab w:val="left" w:pos="2410"/>
              </w:tabs>
              <w:jc w:val="both"/>
              <w:rPr>
                <w:rFonts w:ascii="Garamond" w:hAnsi="Garamond"/>
                <w:sz w:val="22"/>
                <w:lang w:val="nl-NL"/>
              </w:rPr>
            </w:pPr>
          </w:p>
        </w:tc>
      </w:tr>
      <w:tr w:rsidR="001B0E47" w:rsidRPr="004E5F07" w14:paraId="1CD1BCE6" w14:textId="77777777" w:rsidTr="0013508B">
        <w:tc>
          <w:tcPr>
            <w:tcW w:w="4496" w:type="dxa"/>
            <w:tcBorders>
              <w:top w:val="nil"/>
              <w:left w:val="nil"/>
              <w:bottom w:val="nil"/>
              <w:right w:val="nil"/>
            </w:tcBorders>
          </w:tcPr>
          <w:p w14:paraId="37152265" w14:textId="4A1462BC" w:rsidR="001B0E47" w:rsidRPr="00ED59EA" w:rsidRDefault="001B0E47" w:rsidP="001B0E47">
            <w:pPr>
              <w:tabs>
                <w:tab w:val="left" w:pos="356"/>
                <w:tab w:val="left" w:pos="567"/>
                <w:tab w:val="left" w:pos="2268"/>
              </w:tabs>
              <w:jc w:val="both"/>
              <w:rPr>
                <w:rFonts w:ascii="Garamond" w:hAnsi="Garamond"/>
                <w:sz w:val="22"/>
                <w:lang w:val="fr-BE"/>
              </w:rPr>
            </w:pPr>
            <w:r w:rsidRPr="00191D20">
              <w:rPr>
                <w:rFonts w:ascii="Garamond" w:hAnsi="Garamond"/>
                <w:sz w:val="22"/>
                <w:lang w:val="nl-BE"/>
              </w:rPr>
              <w:tab/>
            </w:r>
            <w:r w:rsidRPr="00661CAF">
              <w:rPr>
                <w:rFonts w:ascii="Garamond" w:hAnsi="Garamond"/>
                <w:sz w:val="22"/>
                <w:lang w:val="fr-BE"/>
              </w:rPr>
              <w:t xml:space="preserve">Sur la proposition </w:t>
            </w:r>
            <w:r>
              <w:rPr>
                <w:rFonts w:ascii="Garamond" w:hAnsi="Garamond"/>
                <w:sz w:val="22"/>
                <w:lang w:val="fr-BE"/>
              </w:rPr>
              <w:t>du</w:t>
            </w:r>
            <w:r w:rsidRPr="00661CAF">
              <w:rPr>
                <w:rFonts w:ascii="Garamond" w:hAnsi="Garamond"/>
                <w:sz w:val="22"/>
                <w:lang w:val="fr-BE"/>
              </w:rPr>
              <w:t xml:space="preserve"> Ministre de la Santé        publique</w:t>
            </w:r>
            <w:r>
              <w:rPr>
                <w:rFonts w:ascii="Garamond" w:hAnsi="Garamond"/>
                <w:sz w:val="22"/>
                <w:lang w:val="fr-BE"/>
              </w:rPr>
              <w:t xml:space="preserve"> et du Ministre de l’Agriculture, </w:t>
            </w:r>
          </w:p>
        </w:tc>
        <w:tc>
          <w:tcPr>
            <w:tcW w:w="324" w:type="dxa"/>
            <w:tcBorders>
              <w:top w:val="nil"/>
              <w:left w:val="nil"/>
              <w:bottom w:val="nil"/>
              <w:right w:val="nil"/>
            </w:tcBorders>
          </w:tcPr>
          <w:p w14:paraId="40D560A5" w14:textId="77777777" w:rsidR="001B0E47" w:rsidRPr="00ED59EA" w:rsidRDefault="001B0E47" w:rsidP="001B0E47">
            <w:pPr>
              <w:pStyle w:val="Pieddepage"/>
              <w:tabs>
                <w:tab w:val="clear" w:pos="4536"/>
                <w:tab w:val="clear" w:pos="9072"/>
                <w:tab w:val="left" w:pos="567"/>
                <w:tab w:val="left" w:pos="2410"/>
              </w:tabs>
              <w:jc w:val="both"/>
              <w:rPr>
                <w:rFonts w:ascii="Garamond" w:hAnsi="Garamond"/>
                <w:sz w:val="22"/>
                <w:lang w:val="fr-BE"/>
              </w:rPr>
            </w:pPr>
          </w:p>
        </w:tc>
        <w:tc>
          <w:tcPr>
            <w:tcW w:w="4463" w:type="dxa"/>
            <w:tcBorders>
              <w:top w:val="nil"/>
              <w:left w:val="nil"/>
              <w:bottom w:val="nil"/>
              <w:right w:val="nil"/>
            </w:tcBorders>
          </w:tcPr>
          <w:p w14:paraId="54E97F9E" w14:textId="4723C24A" w:rsidR="001B0E47" w:rsidRPr="004422E2" w:rsidRDefault="001B0E47" w:rsidP="001B0E47">
            <w:pPr>
              <w:pStyle w:val="Pieddepage"/>
              <w:tabs>
                <w:tab w:val="clear" w:pos="4536"/>
                <w:tab w:val="clear" w:pos="9072"/>
                <w:tab w:val="left" w:pos="355"/>
                <w:tab w:val="left" w:pos="567"/>
                <w:tab w:val="left" w:pos="2410"/>
              </w:tabs>
              <w:jc w:val="both"/>
              <w:rPr>
                <w:rFonts w:ascii="Garamond" w:hAnsi="Garamond"/>
                <w:sz w:val="22"/>
                <w:lang w:val="nl-NL"/>
              </w:rPr>
            </w:pPr>
            <w:r w:rsidRPr="00ED59EA">
              <w:rPr>
                <w:rFonts w:ascii="Garamond" w:hAnsi="Garamond"/>
                <w:sz w:val="22"/>
                <w:lang w:val="fr-BE"/>
              </w:rPr>
              <w:tab/>
            </w:r>
            <w:r w:rsidRPr="00661CAF">
              <w:rPr>
                <w:rFonts w:ascii="Garamond" w:hAnsi="Garamond"/>
                <w:sz w:val="22"/>
                <w:lang w:val="nl-NL"/>
              </w:rPr>
              <w:t xml:space="preserve">Op de voordracht van de Minister van Volksgezondheid </w:t>
            </w:r>
            <w:r>
              <w:rPr>
                <w:rFonts w:ascii="Garamond" w:hAnsi="Garamond"/>
                <w:sz w:val="22"/>
                <w:lang w:val="nl-NL"/>
              </w:rPr>
              <w:t xml:space="preserve">en de Minister van Landbouw, </w:t>
            </w:r>
          </w:p>
        </w:tc>
      </w:tr>
      <w:tr w:rsidR="001B0E47" w:rsidRPr="004E5F07" w14:paraId="13905062" w14:textId="77777777" w:rsidTr="0013508B">
        <w:tc>
          <w:tcPr>
            <w:tcW w:w="4496" w:type="dxa"/>
            <w:tcBorders>
              <w:top w:val="nil"/>
              <w:left w:val="nil"/>
              <w:bottom w:val="nil"/>
              <w:right w:val="nil"/>
            </w:tcBorders>
          </w:tcPr>
          <w:p w14:paraId="354877A1" w14:textId="77777777" w:rsidR="001B0E47" w:rsidRPr="004422E2" w:rsidRDefault="001B0E47" w:rsidP="001B0E47">
            <w:pPr>
              <w:tabs>
                <w:tab w:val="left" w:pos="356"/>
                <w:tab w:val="left" w:pos="567"/>
                <w:tab w:val="left" w:pos="2268"/>
              </w:tabs>
              <w:jc w:val="both"/>
              <w:rPr>
                <w:rFonts w:ascii="Garamond" w:hAnsi="Garamond"/>
                <w:sz w:val="22"/>
                <w:lang w:val="nl-NL"/>
              </w:rPr>
            </w:pPr>
          </w:p>
        </w:tc>
        <w:tc>
          <w:tcPr>
            <w:tcW w:w="324" w:type="dxa"/>
            <w:tcBorders>
              <w:top w:val="nil"/>
              <w:left w:val="nil"/>
              <w:bottom w:val="nil"/>
              <w:right w:val="nil"/>
            </w:tcBorders>
          </w:tcPr>
          <w:p w14:paraId="38223E8B" w14:textId="77777777" w:rsidR="001B0E47" w:rsidRPr="004422E2" w:rsidRDefault="001B0E47" w:rsidP="001B0E47">
            <w:pPr>
              <w:tabs>
                <w:tab w:val="left" w:pos="2410"/>
              </w:tabs>
              <w:rPr>
                <w:rFonts w:ascii="Garamond" w:hAnsi="Garamond"/>
                <w:sz w:val="22"/>
                <w:lang w:val="nl-NL"/>
              </w:rPr>
            </w:pPr>
          </w:p>
        </w:tc>
        <w:tc>
          <w:tcPr>
            <w:tcW w:w="4463" w:type="dxa"/>
            <w:tcBorders>
              <w:top w:val="nil"/>
              <w:left w:val="nil"/>
              <w:bottom w:val="nil"/>
              <w:right w:val="nil"/>
            </w:tcBorders>
          </w:tcPr>
          <w:p w14:paraId="14C63949" w14:textId="77777777" w:rsidR="001B0E47" w:rsidRPr="004422E2" w:rsidRDefault="001B0E47" w:rsidP="001B0E47">
            <w:pPr>
              <w:tabs>
                <w:tab w:val="left" w:pos="355"/>
                <w:tab w:val="left" w:pos="2410"/>
              </w:tabs>
              <w:jc w:val="both"/>
              <w:rPr>
                <w:rFonts w:ascii="Garamond" w:hAnsi="Garamond"/>
                <w:sz w:val="22"/>
                <w:lang w:val="nl-NL"/>
              </w:rPr>
            </w:pPr>
          </w:p>
        </w:tc>
      </w:tr>
      <w:tr w:rsidR="001B0E47" w:rsidRPr="004E5F07" w14:paraId="3A1AD073" w14:textId="77777777" w:rsidTr="0013508B">
        <w:tc>
          <w:tcPr>
            <w:tcW w:w="4496" w:type="dxa"/>
            <w:tcBorders>
              <w:top w:val="nil"/>
              <w:left w:val="nil"/>
              <w:bottom w:val="nil"/>
              <w:right w:val="nil"/>
            </w:tcBorders>
          </w:tcPr>
          <w:p w14:paraId="22686F2F" w14:textId="0B5075A6" w:rsidR="001B0E47" w:rsidRPr="00C35E6B" w:rsidRDefault="001B0E47" w:rsidP="001B0E47">
            <w:pPr>
              <w:tabs>
                <w:tab w:val="left" w:pos="567"/>
                <w:tab w:val="left" w:pos="2268"/>
              </w:tabs>
              <w:ind w:left="567"/>
              <w:rPr>
                <w:rFonts w:ascii="Garamond" w:hAnsi="Garamond"/>
                <w:caps/>
                <w:sz w:val="22"/>
                <w:lang w:val="fr-BE"/>
              </w:rPr>
            </w:pPr>
            <w:r w:rsidRPr="00185852">
              <w:rPr>
                <w:rFonts w:ascii="Garamond" w:hAnsi="Garamond"/>
                <w:caps/>
                <w:sz w:val="22"/>
                <w:lang w:val="fr-BE"/>
              </w:rPr>
              <w:lastRenderedPageBreak/>
              <w:t>Nous avons arrêté et arrêtons</w:t>
            </w:r>
            <w:r w:rsidRPr="00C35E6B">
              <w:rPr>
                <w:rFonts w:ascii="Garamond" w:hAnsi="Garamond"/>
                <w:caps/>
                <w:sz w:val="22"/>
                <w:lang w:val="fr-BE"/>
              </w:rPr>
              <w:t xml:space="preserve">: </w:t>
            </w:r>
          </w:p>
        </w:tc>
        <w:tc>
          <w:tcPr>
            <w:tcW w:w="324" w:type="dxa"/>
            <w:tcBorders>
              <w:top w:val="nil"/>
              <w:left w:val="nil"/>
              <w:bottom w:val="nil"/>
              <w:right w:val="nil"/>
            </w:tcBorders>
          </w:tcPr>
          <w:p w14:paraId="1B7E1EAA" w14:textId="77777777" w:rsidR="001B0E47" w:rsidRPr="00C35E6B" w:rsidRDefault="001B0E47" w:rsidP="001B0E47">
            <w:pPr>
              <w:tabs>
                <w:tab w:val="left" w:pos="567"/>
                <w:tab w:val="left" w:pos="2410"/>
              </w:tabs>
              <w:jc w:val="center"/>
              <w:rPr>
                <w:rFonts w:ascii="Garamond" w:hAnsi="Garamond"/>
                <w:sz w:val="22"/>
                <w:lang w:val="fr-BE"/>
              </w:rPr>
            </w:pPr>
          </w:p>
        </w:tc>
        <w:tc>
          <w:tcPr>
            <w:tcW w:w="4463" w:type="dxa"/>
            <w:tcBorders>
              <w:top w:val="nil"/>
              <w:left w:val="nil"/>
              <w:bottom w:val="nil"/>
              <w:right w:val="nil"/>
            </w:tcBorders>
          </w:tcPr>
          <w:p w14:paraId="506B2943" w14:textId="72658451" w:rsidR="001B0E47" w:rsidRPr="004422E2" w:rsidRDefault="001B0E47" w:rsidP="001B0E47">
            <w:pPr>
              <w:tabs>
                <w:tab w:val="left" w:pos="355"/>
                <w:tab w:val="left" w:pos="2410"/>
              </w:tabs>
              <w:jc w:val="center"/>
              <w:rPr>
                <w:rFonts w:ascii="Garamond" w:hAnsi="Garamond"/>
                <w:caps/>
                <w:sz w:val="22"/>
                <w:lang w:val="nl-NL"/>
              </w:rPr>
            </w:pPr>
            <w:r w:rsidRPr="00185852">
              <w:rPr>
                <w:rFonts w:ascii="Garamond" w:hAnsi="Garamond"/>
                <w:caps/>
                <w:sz w:val="22"/>
                <w:lang w:val="nl-NL"/>
              </w:rPr>
              <w:t>Hebben Wij besloten en besluiten Wij</w:t>
            </w:r>
            <w:r w:rsidRPr="004422E2">
              <w:rPr>
                <w:rFonts w:ascii="Garamond" w:hAnsi="Garamond"/>
                <w:caps/>
                <w:sz w:val="22"/>
                <w:lang w:val="nl-NL"/>
              </w:rPr>
              <w:t>:</w:t>
            </w:r>
          </w:p>
        </w:tc>
      </w:tr>
      <w:tr w:rsidR="001B0E47" w:rsidRPr="004E5F07" w14:paraId="66D5AA0B" w14:textId="77777777" w:rsidTr="0013508B">
        <w:tc>
          <w:tcPr>
            <w:tcW w:w="4496" w:type="dxa"/>
            <w:tcBorders>
              <w:top w:val="nil"/>
              <w:left w:val="nil"/>
              <w:bottom w:val="nil"/>
              <w:right w:val="nil"/>
            </w:tcBorders>
          </w:tcPr>
          <w:p w14:paraId="31BB8ED7" w14:textId="77777777" w:rsidR="001B0E47" w:rsidRPr="004422E2" w:rsidRDefault="001B0E47" w:rsidP="001B0E47">
            <w:pPr>
              <w:tabs>
                <w:tab w:val="left" w:pos="567"/>
                <w:tab w:val="left" w:pos="2268"/>
              </w:tabs>
              <w:jc w:val="both"/>
              <w:rPr>
                <w:rFonts w:ascii="Garamond" w:hAnsi="Garamond"/>
                <w:sz w:val="22"/>
                <w:lang w:val="nl-NL"/>
              </w:rPr>
            </w:pPr>
          </w:p>
        </w:tc>
        <w:tc>
          <w:tcPr>
            <w:tcW w:w="324" w:type="dxa"/>
            <w:tcBorders>
              <w:top w:val="nil"/>
              <w:left w:val="nil"/>
              <w:bottom w:val="nil"/>
              <w:right w:val="nil"/>
            </w:tcBorders>
          </w:tcPr>
          <w:p w14:paraId="03639764" w14:textId="77777777" w:rsidR="001B0E47" w:rsidRPr="004422E2" w:rsidRDefault="001B0E47" w:rsidP="001B0E47">
            <w:pPr>
              <w:tabs>
                <w:tab w:val="left" w:pos="567"/>
                <w:tab w:val="left" w:pos="2410"/>
              </w:tabs>
              <w:jc w:val="both"/>
              <w:rPr>
                <w:rFonts w:ascii="Garamond" w:hAnsi="Garamond"/>
                <w:sz w:val="22"/>
                <w:lang w:val="nl-NL"/>
              </w:rPr>
            </w:pPr>
          </w:p>
        </w:tc>
        <w:tc>
          <w:tcPr>
            <w:tcW w:w="4463" w:type="dxa"/>
            <w:tcBorders>
              <w:top w:val="nil"/>
              <w:left w:val="nil"/>
              <w:bottom w:val="nil"/>
              <w:right w:val="nil"/>
            </w:tcBorders>
          </w:tcPr>
          <w:p w14:paraId="1EB37D2B" w14:textId="77777777" w:rsidR="001B0E47" w:rsidRPr="004422E2" w:rsidRDefault="001B0E47" w:rsidP="001B0E47">
            <w:pPr>
              <w:tabs>
                <w:tab w:val="left" w:pos="567"/>
                <w:tab w:val="left" w:pos="2410"/>
              </w:tabs>
              <w:jc w:val="both"/>
              <w:rPr>
                <w:rFonts w:ascii="Garamond" w:hAnsi="Garamond"/>
                <w:sz w:val="22"/>
                <w:lang w:val="nl-NL"/>
              </w:rPr>
            </w:pPr>
          </w:p>
        </w:tc>
      </w:tr>
      <w:tr w:rsidR="001B0E47" w:rsidRPr="004E5F07" w14:paraId="51C3149B" w14:textId="77777777" w:rsidTr="0013508B">
        <w:tc>
          <w:tcPr>
            <w:tcW w:w="4496" w:type="dxa"/>
            <w:tcBorders>
              <w:top w:val="nil"/>
              <w:left w:val="nil"/>
              <w:bottom w:val="nil"/>
              <w:right w:val="nil"/>
            </w:tcBorders>
          </w:tcPr>
          <w:p w14:paraId="1B4CD03B" w14:textId="763BDD9A" w:rsidR="001B0E47" w:rsidRPr="00C35E6B" w:rsidRDefault="001B0E47" w:rsidP="001B0E47">
            <w:pPr>
              <w:tabs>
                <w:tab w:val="left" w:pos="567"/>
                <w:tab w:val="left" w:pos="2268"/>
              </w:tabs>
              <w:jc w:val="both"/>
              <w:rPr>
                <w:rFonts w:ascii="Garamond" w:hAnsi="Garamond"/>
                <w:sz w:val="22"/>
                <w:lang w:val="fr-BE"/>
              </w:rPr>
            </w:pPr>
            <w:r>
              <w:rPr>
                <w:rFonts w:ascii="Garamond" w:hAnsi="Garamond"/>
                <w:b/>
                <w:sz w:val="22"/>
                <w:lang w:val="fr-BE"/>
              </w:rPr>
              <w:t>Article 1</w:t>
            </w:r>
            <w:r w:rsidRPr="00D914F9">
              <w:rPr>
                <w:rFonts w:ascii="Garamond" w:hAnsi="Garamond"/>
                <w:b/>
                <w:sz w:val="22"/>
                <w:vertAlign w:val="superscript"/>
                <w:lang w:val="fr-BE"/>
              </w:rPr>
              <w:t>er</w:t>
            </w:r>
            <w:r>
              <w:rPr>
                <w:rFonts w:ascii="Garamond" w:hAnsi="Garamond"/>
                <w:b/>
                <w:sz w:val="22"/>
                <w:lang w:val="fr-BE"/>
              </w:rPr>
              <w:t xml:space="preserve">. </w:t>
            </w:r>
            <w:r w:rsidRPr="003955A7">
              <w:rPr>
                <w:rFonts w:ascii="Garamond" w:hAnsi="Garamond"/>
                <w:sz w:val="22"/>
              </w:rPr>
              <w:t>Le présent arrêté établit des règles auxquelles doi</w:t>
            </w:r>
            <w:r w:rsidR="009D758C">
              <w:rPr>
                <w:rFonts w:ascii="Garamond" w:hAnsi="Garamond"/>
                <w:sz w:val="22"/>
              </w:rPr>
              <w:t>ven</w:t>
            </w:r>
            <w:r w:rsidRPr="003955A7">
              <w:rPr>
                <w:rFonts w:ascii="Garamond" w:hAnsi="Garamond"/>
                <w:sz w:val="22"/>
              </w:rPr>
              <w:t>t satisfaire les denrées alimentaires mises dans le commerce lors de l’apparition d’effets indésirables afin d’assurer un niveau élevé de protection de la santé humaine</w:t>
            </w:r>
            <w:r w:rsidRPr="00C35E6B">
              <w:rPr>
                <w:rFonts w:ascii="Garamond" w:hAnsi="Garamond"/>
                <w:sz w:val="22"/>
                <w:lang w:val="fr-BE"/>
              </w:rPr>
              <w:t>.</w:t>
            </w:r>
          </w:p>
        </w:tc>
        <w:tc>
          <w:tcPr>
            <w:tcW w:w="324" w:type="dxa"/>
            <w:tcBorders>
              <w:top w:val="nil"/>
              <w:left w:val="nil"/>
              <w:bottom w:val="nil"/>
              <w:right w:val="nil"/>
            </w:tcBorders>
          </w:tcPr>
          <w:p w14:paraId="6CDD3AAD" w14:textId="77777777" w:rsidR="001B0E47" w:rsidRPr="00C35E6B" w:rsidRDefault="001B0E47" w:rsidP="001B0E47">
            <w:pPr>
              <w:tabs>
                <w:tab w:val="left" w:pos="567"/>
                <w:tab w:val="left" w:pos="2410"/>
              </w:tabs>
              <w:jc w:val="both"/>
              <w:rPr>
                <w:rFonts w:ascii="Garamond" w:hAnsi="Garamond"/>
                <w:sz w:val="22"/>
                <w:lang w:val="fr-BE"/>
              </w:rPr>
            </w:pPr>
          </w:p>
        </w:tc>
        <w:tc>
          <w:tcPr>
            <w:tcW w:w="4463" w:type="dxa"/>
            <w:tcBorders>
              <w:top w:val="nil"/>
              <w:left w:val="nil"/>
              <w:bottom w:val="nil"/>
              <w:right w:val="nil"/>
            </w:tcBorders>
          </w:tcPr>
          <w:p w14:paraId="7E20F77B" w14:textId="731A50B5" w:rsidR="001B0E47" w:rsidRPr="00665F3C" w:rsidRDefault="001B0E47" w:rsidP="001B0E47">
            <w:pPr>
              <w:tabs>
                <w:tab w:val="left" w:pos="567"/>
                <w:tab w:val="left" w:pos="2410"/>
              </w:tabs>
              <w:jc w:val="both"/>
              <w:rPr>
                <w:rFonts w:ascii="Garamond" w:hAnsi="Garamond"/>
                <w:sz w:val="22"/>
                <w:lang w:val="nl-NL"/>
              </w:rPr>
            </w:pPr>
            <w:r w:rsidRPr="00665F3C">
              <w:rPr>
                <w:rFonts w:ascii="Garamond" w:hAnsi="Garamond"/>
                <w:b/>
                <w:sz w:val="22"/>
                <w:lang w:val="nl-NL"/>
              </w:rPr>
              <w:t xml:space="preserve">Artikel 1. </w:t>
            </w:r>
            <w:r w:rsidRPr="00665F3C">
              <w:rPr>
                <w:rFonts w:ascii="Garamond" w:hAnsi="Garamond"/>
                <w:sz w:val="22"/>
                <w:lang w:val="nl-NL"/>
              </w:rPr>
              <w:t xml:space="preserve">Dit besluit </w:t>
            </w:r>
            <w:r w:rsidR="00331D47">
              <w:rPr>
                <w:rFonts w:ascii="Garamond" w:hAnsi="Garamond"/>
                <w:sz w:val="22"/>
                <w:lang w:val="nl-NL"/>
              </w:rPr>
              <w:t>stelt regels vast</w:t>
            </w:r>
            <w:r w:rsidR="009D758C" w:rsidRPr="009D758C">
              <w:rPr>
                <w:rFonts w:ascii="Garamond" w:hAnsi="Garamond"/>
                <w:sz w:val="22"/>
                <w:lang w:val="nl-NL"/>
              </w:rPr>
              <w:t xml:space="preserve"> waaraan in de handel gebrachte </w:t>
            </w:r>
            <w:r w:rsidR="00CB05FF">
              <w:rPr>
                <w:rFonts w:ascii="Garamond" w:hAnsi="Garamond"/>
                <w:sz w:val="22"/>
                <w:lang w:val="nl-NL"/>
              </w:rPr>
              <w:t>voedingsmiddelen</w:t>
            </w:r>
            <w:r w:rsidR="00CB05FF" w:rsidRPr="009D758C">
              <w:rPr>
                <w:rFonts w:ascii="Garamond" w:hAnsi="Garamond"/>
                <w:sz w:val="22"/>
                <w:lang w:val="nl-NL"/>
              </w:rPr>
              <w:t xml:space="preserve"> </w:t>
            </w:r>
            <w:r w:rsidR="009D758C" w:rsidRPr="009D758C">
              <w:rPr>
                <w:rFonts w:ascii="Garamond" w:hAnsi="Garamond"/>
                <w:sz w:val="22"/>
                <w:lang w:val="nl-NL"/>
              </w:rPr>
              <w:t>moeten voldoen in geval van bijwerkingen, teneinde een hoog niveau van bescherming van de menselijke gezondheid te waarborgen.</w:t>
            </w:r>
          </w:p>
        </w:tc>
      </w:tr>
      <w:tr w:rsidR="001B0E47" w:rsidRPr="004E5F07" w14:paraId="45C0532E" w14:textId="77777777" w:rsidTr="0013508B">
        <w:tc>
          <w:tcPr>
            <w:tcW w:w="4496" w:type="dxa"/>
            <w:tcBorders>
              <w:top w:val="nil"/>
              <w:left w:val="nil"/>
              <w:bottom w:val="nil"/>
              <w:right w:val="nil"/>
            </w:tcBorders>
          </w:tcPr>
          <w:p w14:paraId="531FE547" w14:textId="77777777" w:rsidR="001B0E47" w:rsidRPr="00665F3C" w:rsidRDefault="001B0E47" w:rsidP="001B0E47">
            <w:pPr>
              <w:tabs>
                <w:tab w:val="left" w:pos="567"/>
                <w:tab w:val="left" w:pos="2268"/>
              </w:tabs>
              <w:jc w:val="both"/>
              <w:rPr>
                <w:rFonts w:ascii="Garamond" w:hAnsi="Garamond"/>
                <w:sz w:val="22"/>
                <w:lang w:val="nl-NL"/>
              </w:rPr>
            </w:pPr>
          </w:p>
        </w:tc>
        <w:tc>
          <w:tcPr>
            <w:tcW w:w="324" w:type="dxa"/>
            <w:tcBorders>
              <w:top w:val="nil"/>
              <w:left w:val="nil"/>
              <w:bottom w:val="nil"/>
              <w:right w:val="nil"/>
            </w:tcBorders>
          </w:tcPr>
          <w:p w14:paraId="09ABB35B" w14:textId="77777777" w:rsidR="001B0E47" w:rsidRPr="00665F3C" w:rsidRDefault="001B0E47" w:rsidP="001B0E47">
            <w:pPr>
              <w:tabs>
                <w:tab w:val="left" w:pos="567"/>
                <w:tab w:val="left" w:pos="2410"/>
              </w:tabs>
              <w:jc w:val="both"/>
              <w:rPr>
                <w:rFonts w:ascii="Garamond" w:hAnsi="Garamond"/>
                <w:sz w:val="22"/>
                <w:lang w:val="nl-NL"/>
              </w:rPr>
            </w:pPr>
          </w:p>
        </w:tc>
        <w:tc>
          <w:tcPr>
            <w:tcW w:w="4463" w:type="dxa"/>
            <w:tcBorders>
              <w:top w:val="nil"/>
              <w:left w:val="nil"/>
              <w:bottom w:val="nil"/>
              <w:right w:val="nil"/>
            </w:tcBorders>
          </w:tcPr>
          <w:p w14:paraId="1B0C6661" w14:textId="77777777" w:rsidR="001B0E47" w:rsidRPr="00665F3C" w:rsidRDefault="001B0E47" w:rsidP="001B0E47">
            <w:pPr>
              <w:tabs>
                <w:tab w:val="left" w:pos="567"/>
                <w:tab w:val="left" w:pos="2410"/>
              </w:tabs>
              <w:jc w:val="both"/>
              <w:rPr>
                <w:rFonts w:ascii="Garamond" w:hAnsi="Garamond"/>
                <w:sz w:val="22"/>
                <w:lang w:val="nl-NL"/>
              </w:rPr>
            </w:pPr>
          </w:p>
        </w:tc>
      </w:tr>
      <w:tr w:rsidR="001B0E47" w:rsidRPr="004E5F07" w14:paraId="3DEAE41B" w14:textId="77777777" w:rsidTr="0013508B">
        <w:tc>
          <w:tcPr>
            <w:tcW w:w="4496" w:type="dxa"/>
            <w:tcBorders>
              <w:top w:val="nil"/>
              <w:left w:val="nil"/>
              <w:bottom w:val="nil"/>
              <w:right w:val="nil"/>
            </w:tcBorders>
          </w:tcPr>
          <w:p w14:paraId="06E56C86" w14:textId="683AAD3C" w:rsidR="001B0E47" w:rsidRPr="00C35E6B" w:rsidRDefault="001B0E47" w:rsidP="001B0E47">
            <w:pPr>
              <w:tabs>
                <w:tab w:val="left" w:pos="356"/>
                <w:tab w:val="left" w:pos="567"/>
                <w:tab w:val="left" w:pos="2268"/>
              </w:tabs>
              <w:jc w:val="both"/>
              <w:rPr>
                <w:rFonts w:ascii="Garamond" w:hAnsi="Garamond"/>
                <w:sz w:val="22"/>
                <w:lang w:val="fr-BE"/>
              </w:rPr>
            </w:pPr>
            <w:r w:rsidRPr="00665F3C">
              <w:rPr>
                <w:rFonts w:ascii="Garamond" w:hAnsi="Garamond"/>
                <w:b/>
                <w:sz w:val="22"/>
                <w:lang w:val="fr-BE"/>
              </w:rPr>
              <w:t>Art. 2.</w:t>
            </w:r>
            <w:r w:rsidRPr="00665F3C">
              <w:rPr>
                <w:rFonts w:ascii="Garamond" w:hAnsi="Garamond"/>
                <w:sz w:val="22"/>
                <w:lang w:val="fr-BE"/>
              </w:rPr>
              <w:t xml:space="preserve"> </w:t>
            </w:r>
            <w:r w:rsidRPr="00A3006E">
              <w:rPr>
                <w:rFonts w:ascii="Garamond" w:hAnsi="Garamond"/>
                <w:sz w:val="22"/>
                <w:lang w:val="fr-BE"/>
              </w:rPr>
              <w:t>Pour l’application du présent arrêté on entend par:</w:t>
            </w:r>
          </w:p>
          <w:p w14:paraId="1AB4716F" w14:textId="3D5FFA20" w:rsidR="001B0E47" w:rsidRPr="003955A7" w:rsidRDefault="001B0E47" w:rsidP="001B0E47">
            <w:pPr>
              <w:tabs>
                <w:tab w:val="left" w:pos="356"/>
                <w:tab w:val="left" w:pos="567"/>
                <w:tab w:val="left" w:pos="2268"/>
              </w:tabs>
              <w:jc w:val="both"/>
              <w:rPr>
                <w:rFonts w:ascii="Garamond" w:hAnsi="Garamond"/>
                <w:sz w:val="22"/>
                <w:lang w:val="fr-BE"/>
              </w:rPr>
            </w:pPr>
            <w:r w:rsidRPr="00C35E6B">
              <w:rPr>
                <w:rFonts w:ascii="Garamond" w:hAnsi="Garamond"/>
                <w:sz w:val="22"/>
                <w:lang w:val="fr-BE"/>
              </w:rPr>
              <w:t xml:space="preserve">1° </w:t>
            </w:r>
            <w:r>
              <w:rPr>
                <w:rFonts w:ascii="Garamond" w:hAnsi="Garamond"/>
                <w:sz w:val="22"/>
                <w:lang w:val="fr-BE"/>
              </w:rPr>
              <w:t>effet indésirable :</w:t>
            </w:r>
            <w:r w:rsidRPr="00C35E6B">
              <w:rPr>
                <w:rFonts w:ascii="Garamond" w:hAnsi="Garamond"/>
                <w:sz w:val="22"/>
                <w:lang w:val="fr-BE"/>
              </w:rPr>
              <w:t xml:space="preserve"> </w:t>
            </w:r>
            <w:r w:rsidRPr="003955A7">
              <w:rPr>
                <w:rFonts w:ascii="Garamond" w:hAnsi="Garamond"/>
                <w:sz w:val="22"/>
                <w:lang w:val="fr-BE"/>
              </w:rPr>
              <w:t>réaction nocive pour la santé humaine imputable à l’utilisation normale ou raisonnablement prévisible d’une denrée alimentaire ;</w:t>
            </w:r>
          </w:p>
          <w:p w14:paraId="17705DEF" w14:textId="78E4A8BA" w:rsidR="001B0E47" w:rsidRDefault="001B0E47" w:rsidP="001B0E47">
            <w:pPr>
              <w:tabs>
                <w:tab w:val="left" w:pos="356"/>
                <w:tab w:val="left" w:pos="567"/>
                <w:tab w:val="left" w:pos="2268"/>
              </w:tabs>
              <w:jc w:val="both"/>
              <w:rPr>
                <w:rFonts w:ascii="Garamond" w:hAnsi="Garamond" w:cstheme="minorHAnsi"/>
                <w:sz w:val="22"/>
                <w:szCs w:val="22"/>
                <w:shd w:val="clear" w:color="auto" w:fill="FFFFFF"/>
              </w:rPr>
            </w:pPr>
            <w:r w:rsidRPr="003955A7">
              <w:rPr>
                <w:rFonts w:ascii="Garamond" w:hAnsi="Garamond"/>
                <w:sz w:val="22"/>
                <w:szCs w:val="22"/>
                <w:lang w:val="fr-BE"/>
              </w:rPr>
              <w:t xml:space="preserve">2° </w:t>
            </w:r>
            <w:r w:rsidRPr="003955A7">
              <w:rPr>
                <w:rStyle w:val="plist"/>
                <w:rFonts w:ascii="Garamond" w:hAnsi="Garamond" w:cstheme="minorHAnsi"/>
                <w:sz w:val="22"/>
                <w:szCs w:val="22"/>
              </w:rPr>
              <w:t xml:space="preserve">opérateur : </w:t>
            </w:r>
            <w:r w:rsidRPr="003955A7">
              <w:rPr>
                <w:rFonts w:ascii="Garamond" w:hAnsi="Garamond" w:cstheme="minorHAnsi"/>
                <w:sz w:val="22"/>
                <w:szCs w:val="22"/>
                <w:shd w:val="clear" w:color="auto" w:fill="FFFFFF"/>
              </w:rPr>
              <w:t xml:space="preserve">la personne physique non salariée, l'entreprise au sens de l’article I du livre I du Code de droit économique, ou l'association de droit public ou de droit privé, assurant, dans un but </w:t>
            </w:r>
            <w:r w:rsidRPr="00646D8C">
              <w:rPr>
                <w:rFonts w:ascii="Garamond" w:hAnsi="Garamond" w:cstheme="minorHAnsi"/>
                <w:sz w:val="22"/>
                <w:szCs w:val="22"/>
                <w:shd w:val="clear" w:color="auto" w:fill="FFFFFF"/>
              </w:rPr>
              <w:t>lucratif ou non, des activités liées aux étapes du conseil, de la production, de la transformation et de la distribution d'un produit;</w:t>
            </w:r>
          </w:p>
          <w:p w14:paraId="7729E72C" w14:textId="77777777" w:rsidR="00783E0F" w:rsidRPr="00646D8C" w:rsidRDefault="00783E0F" w:rsidP="001B0E47">
            <w:pPr>
              <w:tabs>
                <w:tab w:val="left" w:pos="356"/>
                <w:tab w:val="left" w:pos="567"/>
                <w:tab w:val="left" w:pos="2268"/>
              </w:tabs>
              <w:jc w:val="both"/>
              <w:rPr>
                <w:rFonts w:ascii="Garamond" w:hAnsi="Garamond"/>
                <w:sz w:val="22"/>
                <w:szCs w:val="22"/>
                <w:lang w:val="fr-BE"/>
              </w:rPr>
            </w:pPr>
          </w:p>
          <w:p w14:paraId="62E9F3FC" w14:textId="6992CCFD" w:rsidR="001B0E47" w:rsidRPr="00646D8C" w:rsidRDefault="001B0E47" w:rsidP="001B0E47">
            <w:pPr>
              <w:tabs>
                <w:tab w:val="left" w:pos="356"/>
                <w:tab w:val="left" w:pos="567"/>
                <w:tab w:val="left" w:pos="2268"/>
              </w:tabs>
              <w:jc w:val="both"/>
              <w:rPr>
                <w:rFonts w:ascii="Garamond" w:hAnsi="Garamond"/>
                <w:sz w:val="22"/>
                <w:szCs w:val="22"/>
                <w:lang w:val="fr-BE"/>
              </w:rPr>
            </w:pPr>
            <w:r w:rsidRPr="00646D8C">
              <w:rPr>
                <w:rFonts w:ascii="Garamond" w:hAnsi="Garamond"/>
                <w:sz w:val="22"/>
                <w:szCs w:val="22"/>
                <w:lang w:val="fr-BE"/>
              </w:rPr>
              <w:t xml:space="preserve">3° </w:t>
            </w:r>
            <w:r w:rsidRPr="00646D8C">
              <w:rPr>
                <w:rStyle w:val="plist"/>
                <w:rFonts w:ascii="Garamond" w:hAnsi="Garamond" w:cstheme="minorHAnsi"/>
                <w:color w:val="010106"/>
                <w:sz w:val="22"/>
                <w:szCs w:val="22"/>
              </w:rPr>
              <w:t>Commission</w:t>
            </w:r>
            <w:r w:rsidR="00646D8C" w:rsidRPr="00646D8C">
              <w:rPr>
                <w:rStyle w:val="plist"/>
                <w:rFonts w:ascii="Garamond" w:hAnsi="Garamond" w:cstheme="minorHAnsi"/>
                <w:color w:val="010106"/>
                <w:sz w:val="22"/>
                <w:szCs w:val="22"/>
              </w:rPr>
              <w:t xml:space="preserve"> de Nutrivigilance</w:t>
            </w:r>
            <w:r w:rsidRPr="00646D8C">
              <w:rPr>
                <w:rStyle w:val="plist"/>
                <w:rFonts w:ascii="Garamond" w:hAnsi="Garamond" w:cstheme="minorHAnsi"/>
                <w:color w:val="010106"/>
                <w:sz w:val="22"/>
                <w:szCs w:val="22"/>
              </w:rPr>
              <w:t xml:space="preserve"> : la Commission en charge de l’évaluation des effets indésirables liés à l’utilisation des denrées alimentaires, visée à l'article 22quater de la loi du 24 janvier 1977 relative à la protection de la santé des consommateurs en ce qui concerne les denrées alimentaires et les autres produits ;</w:t>
            </w:r>
            <w:r w:rsidRPr="00646D8C">
              <w:rPr>
                <w:rFonts w:ascii="Garamond" w:hAnsi="Garamond"/>
                <w:sz w:val="22"/>
                <w:szCs w:val="22"/>
                <w:lang w:val="fr-BE"/>
              </w:rPr>
              <w:t xml:space="preserve"> </w:t>
            </w:r>
          </w:p>
          <w:p w14:paraId="0B2A3A9C" w14:textId="77777777" w:rsidR="00783E0F" w:rsidRDefault="00783E0F" w:rsidP="00502F8E">
            <w:pPr>
              <w:tabs>
                <w:tab w:val="left" w:pos="356"/>
                <w:tab w:val="left" w:pos="567"/>
                <w:tab w:val="left" w:pos="2268"/>
              </w:tabs>
              <w:jc w:val="both"/>
              <w:rPr>
                <w:rFonts w:ascii="Garamond" w:hAnsi="Garamond"/>
                <w:sz w:val="22"/>
                <w:lang w:val="fr-BE"/>
              </w:rPr>
            </w:pPr>
          </w:p>
          <w:p w14:paraId="482865B8" w14:textId="037AA3A0" w:rsidR="001B0E47" w:rsidRPr="00665F3C" w:rsidRDefault="00502F8E" w:rsidP="00502F8E">
            <w:pPr>
              <w:tabs>
                <w:tab w:val="left" w:pos="356"/>
                <w:tab w:val="left" w:pos="567"/>
                <w:tab w:val="left" w:pos="2268"/>
              </w:tabs>
              <w:jc w:val="both"/>
              <w:rPr>
                <w:rFonts w:ascii="Garamond" w:hAnsi="Garamond"/>
                <w:bCs/>
                <w:sz w:val="22"/>
                <w:lang w:val="fr-BE"/>
              </w:rPr>
            </w:pPr>
            <w:r>
              <w:rPr>
                <w:rFonts w:ascii="Garamond" w:hAnsi="Garamond"/>
                <w:sz w:val="22"/>
                <w:lang w:val="fr-BE"/>
              </w:rPr>
              <w:t>4</w:t>
            </w:r>
            <w:r w:rsidR="001B0E47" w:rsidRPr="00C35E6B">
              <w:rPr>
                <w:rFonts w:ascii="Garamond" w:hAnsi="Garamond"/>
                <w:sz w:val="22"/>
                <w:lang w:val="fr-BE"/>
              </w:rPr>
              <w:t>° Service : la Direction générale Animaux, Végétaux et Alimentation du Service public fédéral Santé publique, Sécurité de la Chaîne alimentaire et Environnement</w:t>
            </w:r>
            <w:r w:rsidR="001B0E47">
              <w:rPr>
                <w:rFonts w:ascii="Garamond" w:hAnsi="Garamond"/>
                <w:sz w:val="22"/>
                <w:lang w:val="fr-BE"/>
              </w:rPr>
              <w:t>.</w:t>
            </w:r>
          </w:p>
        </w:tc>
        <w:tc>
          <w:tcPr>
            <w:tcW w:w="324" w:type="dxa"/>
            <w:tcBorders>
              <w:top w:val="nil"/>
              <w:left w:val="nil"/>
              <w:bottom w:val="nil"/>
              <w:right w:val="nil"/>
            </w:tcBorders>
          </w:tcPr>
          <w:p w14:paraId="50D32CD1" w14:textId="77777777" w:rsidR="001B0E47" w:rsidRPr="00665F3C" w:rsidRDefault="001B0E47" w:rsidP="001B0E47">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27ED4D70" w14:textId="77777777" w:rsidR="001B0E47" w:rsidRPr="004422E2" w:rsidRDefault="001B0E47" w:rsidP="001B0E47">
            <w:pPr>
              <w:tabs>
                <w:tab w:val="left" w:pos="355"/>
                <w:tab w:val="left" w:pos="2410"/>
              </w:tabs>
              <w:jc w:val="both"/>
              <w:rPr>
                <w:rFonts w:ascii="Garamond" w:hAnsi="Garamond"/>
                <w:sz w:val="22"/>
                <w:lang w:val="nl-NL"/>
              </w:rPr>
            </w:pPr>
            <w:r w:rsidRPr="004422E2">
              <w:rPr>
                <w:rFonts w:ascii="Garamond" w:hAnsi="Garamond"/>
                <w:b/>
                <w:sz w:val="22"/>
                <w:lang w:val="nl-NL"/>
              </w:rPr>
              <w:t xml:space="preserve">Art. 2. </w:t>
            </w:r>
            <w:r w:rsidRPr="004422E2">
              <w:rPr>
                <w:rFonts w:ascii="Garamond" w:hAnsi="Garamond"/>
                <w:sz w:val="22"/>
                <w:lang w:val="nl-NL"/>
              </w:rPr>
              <w:t>Voor de toepassing van dit besluit wordt verstaan onder:</w:t>
            </w:r>
          </w:p>
          <w:p w14:paraId="55C08559" w14:textId="65AB0EB4" w:rsidR="001B0E47" w:rsidRPr="004422E2" w:rsidRDefault="001B0E47" w:rsidP="001B0E47">
            <w:pPr>
              <w:tabs>
                <w:tab w:val="left" w:pos="355"/>
                <w:tab w:val="left" w:pos="2410"/>
              </w:tabs>
              <w:jc w:val="both"/>
              <w:rPr>
                <w:rFonts w:ascii="Garamond" w:hAnsi="Garamond"/>
                <w:sz w:val="22"/>
                <w:lang w:val="nl-NL"/>
              </w:rPr>
            </w:pPr>
            <w:r w:rsidRPr="004422E2">
              <w:rPr>
                <w:rFonts w:ascii="Garamond" w:hAnsi="Garamond"/>
                <w:sz w:val="22"/>
                <w:lang w:val="nl-NL"/>
              </w:rPr>
              <w:t xml:space="preserve">1° </w:t>
            </w:r>
            <w:r w:rsidR="00646D8C" w:rsidRPr="00646D8C">
              <w:rPr>
                <w:rFonts w:ascii="Garamond" w:hAnsi="Garamond"/>
                <w:sz w:val="22"/>
                <w:lang w:val="nl-NL"/>
              </w:rPr>
              <w:t xml:space="preserve">bijwerking: een reactie die schadelijk is voor de menselijke gezondheid die toe te schrijven is aan het normale of redelijkerwijs te verwachten gebruik van een </w:t>
            </w:r>
            <w:r w:rsidR="00CB05FF">
              <w:rPr>
                <w:rFonts w:ascii="Garamond" w:hAnsi="Garamond"/>
                <w:sz w:val="22"/>
                <w:lang w:val="nl-NL"/>
              </w:rPr>
              <w:t>voedingsmiddel</w:t>
            </w:r>
            <w:r w:rsidR="00646D8C" w:rsidRPr="00646D8C">
              <w:rPr>
                <w:rFonts w:ascii="Garamond" w:hAnsi="Garamond"/>
                <w:sz w:val="22"/>
                <w:lang w:val="nl-NL"/>
              </w:rPr>
              <w:t>;</w:t>
            </w:r>
          </w:p>
          <w:p w14:paraId="55C881FF" w14:textId="768D1A38" w:rsidR="001B0E47" w:rsidRDefault="001B0E47" w:rsidP="001B0E47">
            <w:pPr>
              <w:tabs>
                <w:tab w:val="left" w:pos="355"/>
                <w:tab w:val="left" w:pos="2410"/>
              </w:tabs>
              <w:jc w:val="both"/>
              <w:rPr>
                <w:rFonts w:ascii="Garamond" w:hAnsi="Garamond"/>
                <w:sz w:val="22"/>
                <w:lang w:val="nl-NL"/>
              </w:rPr>
            </w:pPr>
            <w:r w:rsidRPr="004422E2">
              <w:rPr>
                <w:rFonts w:ascii="Garamond" w:hAnsi="Garamond"/>
                <w:sz w:val="22"/>
                <w:lang w:val="nl-NL"/>
              </w:rPr>
              <w:t xml:space="preserve">2° </w:t>
            </w:r>
            <w:r w:rsidR="00646D8C">
              <w:rPr>
                <w:rFonts w:ascii="Garamond" w:hAnsi="Garamond"/>
                <w:sz w:val="22"/>
                <w:lang w:val="nl-NL"/>
              </w:rPr>
              <w:t xml:space="preserve">operator: </w:t>
            </w:r>
            <w:r w:rsidR="0064124D" w:rsidRPr="0064124D">
              <w:rPr>
                <w:rFonts w:ascii="Garamond" w:hAnsi="Garamond"/>
                <w:sz w:val="22"/>
                <w:lang w:val="nl-NL"/>
              </w:rPr>
              <w:t xml:space="preserve">een zelfstandige natuurlijke persoon, een onderneming in de zin van artikel I van boek I van het Wetboek van </w:t>
            </w:r>
            <w:r w:rsidR="00384F58">
              <w:rPr>
                <w:rFonts w:ascii="Garamond" w:hAnsi="Garamond"/>
                <w:sz w:val="22"/>
                <w:lang w:val="nl-NL"/>
              </w:rPr>
              <w:t>e</w:t>
            </w:r>
            <w:r w:rsidR="0064124D" w:rsidRPr="0064124D">
              <w:rPr>
                <w:rFonts w:ascii="Garamond" w:hAnsi="Garamond"/>
                <w:sz w:val="22"/>
                <w:lang w:val="nl-NL"/>
              </w:rPr>
              <w:t>conomisch</w:t>
            </w:r>
            <w:r w:rsidR="00384F58">
              <w:rPr>
                <w:rFonts w:ascii="Garamond" w:hAnsi="Garamond"/>
                <w:sz w:val="22"/>
                <w:lang w:val="nl-NL"/>
              </w:rPr>
              <w:t xml:space="preserve"> r</w:t>
            </w:r>
            <w:r w:rsidR="0064124D" w:rsidRPr="0064124D">
              <w:rPr>
                <w:rFonts w:ascii="Garamond" w:hAnsi="Garamond"/>
                <w:sz w:val="22"/>
                <w:lang w:val="nl-NL"/>
              </w:rPr>
              <w:t xml:space="preserve">echt, of een publiek- of privaatrechtelijke vereniging, die, al dan niet met winstoogmerk, activiteiten verricht die verband houden met de stadia van </w:t>
            </w:r>
            <w:r w:rsidR="00384F58">
              <w:rPr>
                <w:rFonts w:ascii="Garamond" w:hAnsi="Garamond"/>
                <w:sz w:val="22"/>
                <w:lang w:val="nl-NL"/>
              </w:rPr>
              <w:t xml:space="preserve">het </w:t>
            </w:r>
            <w:r w:rsidR="0064124D" w:rsidRPr="0064124D">
              <w:rPr>
                <w:rFonts w:ascii="Garamond" w:hAnsi="Garamond"/>
                <w:sz w:val="22"/>
                <w:lang w:val="nl-NL"/>
              </w:rPr>
              <w:t xml:space="preserve">advies, </w:t>
            </w:r>
            <w:r w:rsidR="00384F58">
              <w:rPr>
                <w:rFonts w:ascii="Garamond" w:hAnsi="Garamond"/>
                <w:sz w:val="22"/>
                <w:lang w:val="nl-NL"/>
              </w:rPr>
              <w:t xml:space="preserve">de </w:t>
            </w:r>
            <w:r w:rsidR="0064124D" w:rsidRPr="0064124D">
              <w:rPr>
                <w:rFonts w:ascii="Garamond" w:hAnsi="Garamond"/>
                <w:sz w:val="22"/>
                <w:lang w:val="nl-NL"/>
              </w:rPr>
              <w:t>productie, verwerking en distributie van een product;</w:t>
            </w:r>
          </w:p>
          <w:p w14:paraId="383847B9" w14:textId="73EEE19C" w:rsidR="001B0E47" w:rsidRPr="00502F8E" w:rsidRDefault="001B0E47" w:rsidP="001B0E47">
            <w:pPr>
              <w:tabs>
                <w:tab w:val="left" w:pos="355"/>
                <w:tab w:val="left" w:pos="2410"/>
              </w:tabs>
              <w:jc w:val="both"/>
              <w:rPr>
                <w:rFonts w:ascii="Garamond" w:hAnsi="Garamond"/>
                <w:sz w:val="22"/>
                <w:lang w:val="nl-BE"/>
              </w:rPr>
            </w:pPr>
            <w:r w:rsidRPr="00502F8E">
              <w:rPr>
                <w:rFonts w:ascii="Garamond" w:hAnsi="Garamond"/>
                <w:sz w:val="22"/>
                <w:lang w:val="nl-BE"/>
              </w:rPr>
              <w:t xml:space="preserve">3° </w:t>
            </w:r>
            <w:r w:rsidR="00502F8E" w:rsidRPr="00502F8E">
              <w:rPr>
                <w:rStyle w:val="plist"/>
                <w:rFonts w:ascii="Garamond" w:hAnsi="Garamond" w:cstheme="minorHAnsi"/>
                <w:color w:val="010106"/>
                <w:sz w:val="22"/>
                <w:szCs w:val="22"/>
                <w:lang w:val="nl-BE"/>
              </w:rPr>
              <w:t>Commissi</w:t>
            </w:r>
            <w:r w:rsidR="00502F8E">
              <w:rPr>
                <w:rStyle w:val="plist"/>
                <w:rFonts w:ascii="Garamond" w:hAnsi="Garamond" w:cstheme="minorHAnsi"/>
                <w:color w:val="010106"/>
                <w:sz w:val="22"/>
                <w:szCs w:val="22"/>
                <w:lang w:val="nl-BE"/>
              </w:rPr>
              <w:t>e</w:t>
            </w:r>
            <w:r w:rsidR="00502F8E" w:rsidRPr="00502F8E">
              <w:rPr>
                <w:rStyle w:val="plist"/>
                <w:rFonts w:ascii="Garamond" w:hAnsi="Garamond" w:cstheme="minorHAnsi"/>
                <w:color w:val="010106"/>
                <w:sz w:val="22"/>
                <w:szCs w:val="22"/>
                <w:lang w:val="nl-BE"/>
              </w:rPr>
              <w:t xml:space="preserve"> </w:t>
            </w:r>
            <w:r w:rsidR="00502F8E">
              <w:rPr>
                <w:rStyle w:val="plist"/>
                <w:rFonts w:ascii="Garamond" w:hAnsi="Garamond" w:cstheme="minorHAnsi"/>
                <w:color w:val="010106"/>
                <w:sz w:val="22"/>
                <w:szCs w:val="22"/>
                <w:lang w:val="nl-BE"/>
              </w:rPr>
              <w:t>van</w:t>
            </w:r>
            <w:r w:rsidR="00502F8E" w:rsidRPr="00502F8E">
              <w:rPr>
                <w:rStyle w:val="plist"/>
                <w:rFonts w:ascii="Garamond" w:hAnsi="Garamond" w:cstheme="minorHAnsi"/>
                <w:color w:val="010106"/>
                <w:sz w:val="22"/>
                <w:szCs w:val="22"/>
                <w:lang w:val="nl-BE"/>
              </w:rPr>
              <w:t xml:space="preserve"> Nutrivigilan</w:t>
            </w:r>
            <w:r w:rsidR="00502F8E">
              <w:rPr>
                <w:rStyle w:val="plist"/>
                <w:rFonts w:ascii="Garamond" w:hAnsi="Garamond" w:cstheme="minorHAnsi"/>
                <w:color w:val="010106"/>
                <w:sz w:val="22"/>
                <w:szCs w:val="22"/>
                <w:lang w:val="nl-BE"/>
              </w:rPr>
              <w:t>ti</w:t>
            </w:r>
            <w:r w:rsidR="00502F8E" w:rsidRPr="00502F8E">
              <w:rPr>
                <w:rStyle w:val="plist"/>
                <w:rFonts w:ascii="Garamond" w:hAnsi="Garamond" w:cstheme="minorHAnsi"/>
                <w:color w:val="010106"/>
                <w:sz w:val="22"/>
                <w:szCs w:val="22"/>
                <w:lang w:val="nl-BE"/>
              </w:rPr>
              <w:t xml:space="preserve">e: de Commissie belast met de evaluatie van de </w:t>
            </w:r>
            <w:r w:rsidR="00502F8E">
              <w:rPr>
                <w:rStyle w:val="plist"/>
                <w:rFonts w:ascii="Garamond" w:hAnsi="Garamond" w:cstheme="minorHAnsi"/>
                <w:color w:val="010106"/>
                <w:sz w:val="22"/>
                <w:szCs w:val="22"/>
                <w:lang w:val="nl-BE"/>
              </w:rPr>
              <w:t>bijwerkingen</w:t>
            </w:r>
            <w:r w:rsidR="00502F8E" w:rsidRPr="00502F8E">
              <w:rPr>
                <w:rStyle w:val="plist"/>
                <w:rFonts w:ascii="Garamond" w:hAnsi="Garamond" w:cstheme="minorHAnsi"/>
                <w:color w:val="010106"/>
                <w:sz w:val="22"/>
                <w:szCs w:val="22"/>
                <w:lang w:val="nl-BE"/>
              </w:rPr>
              <w:t xml:space="preserve"> </w:t>
            </w:r>
            <w:r w:rsidR="00331D47">
              <w:rPr>
                <w:rStyle w:val="plist"/>
                <w:rFonts w:ascii="Garamond" w:hAnsi="Garamond" w:cstheme="minorHAnsi"/>
                <w:color w:val="010106"/>
                <w:sz w:val="22"/>
                <w:szCs w:val="22"/>
                <w:lang w:val="nl-BE"/>
              </w:rPr>
              <w:t>die verband houden met</w:t>
            </w:r>
            <w:r w:rsidR="00331D47" w:rsidRPr="00502F8E">
              <w:rPr>
                <w:rStyle w:val="plist"/>
                <w:rFonts w:ascii="Garamond" w:hAnsi="Garamond" w:cstheme="minorHAnsi"/>
                <w:color w:val="010106"/>
                <w:sz w:val="22"/>
                <w:szCs w:val="22"/>
                <w:lang w:val="nl-BE"/>
              </w:rPr>
              <w:t xml:space="preserve"> </w:t>
            </w:r>
            <w:r w:rsidR="00502F8E" w:rsidRPr="00502F8E">
              <w:rPr>
                <w:rStyle w:val="plist"/>
                <w:rFonts w:ascii="Garamond" w:hAnsi="Garamond" w:cstheme="minorHAnsi"/>
                <w:color w:val="010106"/>
                <w:sz w:val="22"/>
                <w:szCs w:val="22"/>
                <w:lang w:val="nl-BE"/>
              </w:rPr>
              <w:t xml:space="preserve">het gebruik van </w:t>
            </w:r>
            <w:r w:rsidR="00CB05FF">
              <w:rPr>
                <w:rStyle w:val="plist"/>
                <w:rFonts w:ascii="Garamond" w:hAnsi="Garamond" w:cstheme="minorHAnsi"/>
                <w:color w:val="010106"/>
                <w:sz w:val="22"/>
                <w:szCs w:val="22"/>
                <w:lang w:val="nl-BE"/>
              </w:rPr>
              <w:t>voedingsmiddelen</w:t>
            </w:r>
            <w:r w:rsidR="00502F8E" w:rsidRPr="00502F8E">
              <w:rPr>
                <w:rStyle w:val="plist"/>
                <w:rFonts w:ascii="Garamond" w:hAnsi="Garamond" w:cstheme="minorHAnsi"/>
                <w:color w:val="010106"/>
                <w:sz w:val="22"/>
                <w:szCs w:val="22"/>
                <w:lang w:val="nl-BE"/>
              </w:rPr>
              <w:t xml:space="preserve">, bedoeld in artikel 22quater van de wet van 24 januari 1977 </w:t>
            </w:r>
            <w:r w:rsidR="00384F58" w:rsidRPr="00384F58">
              <w:rPr>
                <w:rStyle w:val="plist"/>
                <w:rFonts w:ascii="Garamond" w:hAnsi="Garamond" w:cstheme="minorHAnsi"/>
                <w:color w:val="010106"/>
                <w:sz w:val="22"/>
                <w:szCs w:val="22"/>
                <w:lang w:val="nl-BE"/>
              </w:rPr>
              <w:t>betreffende de bescherming van de gezondheid van de gebruikers op het stuk van de voedingsmiddelen en andere produkten.</w:t>
            </w:r>
            <w:r w:rsidR="00502F8E" w:rsidRPr="00502F8E">
              <w:rPr>
                <w:rStyle w:val="plist"/>
                <w:rFonts w:ascii="Garamond" w:hAnsi="Garamond" w:cstheme="minorHAnsi"/>
                <w:color w:val="010106"/>
                <w:sz w:val="22"/>
                <w:szCs w:val="22"/>
                <w:lang w:val="nl-BE"/>
              </w:rPr>
              <w:t>;</w:t>
            </w:r>
          </w:p>
          <w:p w14:paraId="1EF1D0FB" w14:textId="1D8879A5" w:rsidR="001B0E47" w:rsidRPr="00665F3C" w:rsidRDefault="001B0E47" w:rsidP="00502F8E">
            <w:pPr>
              <w:tabs>
                <w:tab w:val="left" w:pos="355"/>
                <w:tab w:val="left" w:pos="2410"/>
              </w:tabs>
              <w:jc w:val="both"/>
              <w:rPr>
                <w:rFonts w:ascii="Garamond" w:hAnsi="Garamond"/>
                <w:sz w:val="22"/>
                <w:lang w:val="nl-NL"/>
              </w:rPr>
            </w:pPr>
            <w:r w:rsidRPr="004422E2">
              <w:rPr>
                <w:rFonts w:ascii="Garamond" w:hAnsi="Garamond"/>
                <w:sz w:val="22"/>
                <w:lang w:val="nl-NL"/>
              </w:rPr>
              <w:t>4° Dienst : het Directoraat-Generaal Dier, Plant en Voeding van de Federale Overheidsdienst Volksgezondheid, Veiligheid van de Voedselketen en Leefmilieu</w:t>
            </w:r>
            <w:r>
              <w:rPr>
                <w:rFonts w:ascii="Garamond" w:hAnsi="Garamond"/>
                <w:sz w:val="22"/>
                <w:lang w:val="nl-NL"/>
              </w:rPr>
              <w:t>.</w:t>
            </w:r>
          </w:p>
        </w:tc>
      </w:tr>
      <w:tr w:rsidR="001B0E47" w:rsidRPr="004E5F07" w14:paraId="0D89254B" w14:textId="77777777" w:rsidTr="0013508B">
        <w:tc>
          <w:tcPr>
            <w:tcW w:w="4496" w:type="dxa"/>
            <w:tcBorders>
              <w:top w:val="nil"/>
              <w:left w:val="nil"/>
              <w:bottom w:val="nil"/>
              <w:right w:val="nil"/>
            </w:tcBorders>
          </w:tcPr>
          <w:p w14:paraId="47293451" w14:textId="77777777" w:rsidR="001B0E47" w:rsidRPr="00665F3C" w:rsidRDefault="001B0E47" w:rsidP="001B0E47">
            <w:pPr>
              <w:tabs>
                <w:tab w:val="left" w:pos="356"/>
                <w:tab w:val="left" w:pos="567"/>
                <w:tab w:val="left" w:pos="2268"/>
              </w:tabs>
              <w:jc w:val="both"/>
              <w:rPr>
                <w:rFonts w:ascii="Garamond" w:hAnsi="Garamond"/>
                <w:sz w:val="22"/>
                <w:lang w:val="nl-NL"/>
              </w:rPr>
            </w:pPr>
          </w:p>
        </w:tc>
        <w:tc>
          <w:tcPr>
            <w:tcW w:w="324" w:type="dxa"/>
            <w:tcBorders>
              <w:top w:val="nil"/>
              <w:left w:val="nil"/>
              <w:bottom w:val="nil"/>
              <w:right w:val="nil"/>
            </w:tcBorders>
          </w:tcPr>
          <w:p w14:paraId="12C8DD39" w14:textId="77777777" w:rsidR="001B0E47" w:rsidRPr="00665F3C" w:rsidRDefault="001B0E47" w:rsidP="001B0E47">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4D09D6FA" w14:textId="345873BB" w:rsidR="001B0E47" w:rsidRPr="00665F3C" w:rsidRDefault="001B0E47" w:rsidP="001B0E47">
            <w:pPr>
              <w:rPr>
                <w:lang w:val="nl-NL"/>
              </w:rPr>
            </w:pPr>
          </w:p>
        </w:tc>
      </w:tr>
      <w:tr w:rsidR="001B0E47" w:rsidRPr="004E5F07" w14:paraId="081C1FBB" w14:textId="77777777" w:rsidTr="004A40DF">
        <w:tc>
          <w:tcPr>
            <w:tcW w:w="4496" w:type="dxa"/>
            <w:tcBorders>
              <w:top w:val="nil"/>
              <w:left w:val="nil"/>
              <w:bottom w:val="nil"/>
              <w:right w:val="nil"/>
            </w:tcBorders>
          </w:tcPr>
          <w:p w14:paraId="651AF509" w14:textId="0B40AE12" w:rsidR="001B0E47" w:rsidRDefault="001B0E47" w:rsidP="001B0E47">
            <w:pPr>
              <w:tabs>
                <w:tab w:val="left" w:pos="356"/>
                <w:tab w:val="left" w:pos="567"/>
                <w:tab w:val="left" w:pos="2268"/>
              </w:tabs>
              <w:jc w:val="both"/>
              <w:rPr>
                <w:rFonts w:ascii="Garamond" w:hAnsi="Garamond"/>
                <w:sz w:val="22"/>
                <w:lang w:val="fr-BE"/>
              </w:rPr>
            </w:pPr>
            <w:r w:rsidRPr="005E0269">
              <w:rPr>
                <w:rFonts w:ascii="Garamond" w:hAnsi="Garamond"/>
                <w:b/>
                <w:sz w:val="22"/>
                <w:lang w:val="fr-BE"/>
              </w:rPr>
              <w:t>Art. 3.</w:t>
            </w:r>
            <w:r w:rsidRPr="005E0269">
              <w:rPr>
                <w:rFonts w:ascii="Garamond" w:hAnsi="Garamond"/>
                <w:sz w:val="22"/>
                <w:lang w:val="fr-BE"/>
              </w:rPr>
              <w:t xml:space="preserve"> </w:t>
            </w:r>
            <w:r w:rsidRPr="003955A7">
              <w:rPr>
                <w:rFonts w:ascii="Garamond" w:hAnsi="Garamond"/>
                <w:sz w:val="22"/>
                <w:lang w:val="fr-BE"/>
              </w:rPr>
              <w:t>§1</w:t>
            </w:r>
            <w:r w:rsidRPr="00191D20">
              <w:rPr>
                <w:rFonts w:ascii="Garamond" w:hAnsi="Garamond"/>
                <w:sz w:val="22"/>
                <w:vertAlign w:val="superscript"/>
                <w:lang w:val="fr-BE"/>
              </w:rPr>
              <w:t>er</w:t>
            </w:r>
            <w:r w:rsidRPr="003955A7">
              <w:rPr>
                <w:rFonts w:ascii="Garamond" w:hAnsi="Garamond"/>
                <w:sz w:val="22"/>
                <w:lang w:val="fr-BE"/>
              </w:rPr>
              <w:t xml:space="preserve"> . </w:t>
            </w:r>
            <w:r>
              <w:rPr>
                <w:rFonts w:ascii="Garamond" w:hAnsi="Garamond"/>
                <w:sz w:val="22"/>
                <w:lang w:val="fr-BE"/>
              </w:rPr>
              <w:t>Le Service</w:t>
            </w:r>
            <w:r w:rsidRPr="003955A7">
              <w:rPr>
                <w:rFonts w:ascii="Garamond" w:hAnsi="Garamond"/>
                <w:sz w:val="22"/>
                <w:lang w:val="fr-BE"/>
              </w:rPr>
              <w:t xml:space="preserve"> met en œuvre un système de vigilance alimentaire, appelé Nutrivigilance , qui sert à recueillir des informations concernant les effets indésirables que présentent les certaines denrées alimentaires survenant chez l'homme.</w:t>
            </w:r>
          </w:p>
          <w:p w14:paraId="351F0C70" w14:textId="77777777" w:rsidR="001B0E47" w:rsidRDefault="001B0E47" w:rsidP="001B0E47">
            <w:pPr>
              <w:tabs>
                <w:tab w:val="left" w:pos="356"/>
                <w:tab w:val="left" w:pos="567"/>
                <w:tab w:val="left" w:pos="2268"/>
              </w:tabs>
              <w:jc w:val="both"/>
              <w:rPr>
                <w:rFonts w:ascii="Garamond" w:hAnsi="Garamond"/>
                <w:sz w:val="22"/>
                <w:lang w:val="fr-BE"/>
              </w:rPr>
            </w:pPr>
          </w:p>
          <w:p w14:paraId="5C71FDA3" w14:textId="77777777" w:rsidR="001B0E47" w:rsidRPr="00114D32"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 xml:space="preserve">§2. </w:t>
            </w:r>
            <w:r w:rsidRPr="00114D32">
              <w:rPr>
                <w:rFonts w:ascii="Garamond" w:hAnsi="Garamond"/>
                <w:sz w:val="22"/>
                <w:lang w:val="fr-BE"/>
              </w:rPr>
              <w:t>La nutrivigilance s'exerce sur :</w:t>
            </w:r>
          </w:p>
          <w:p w14:paraId="1C1C2E2F" w14:textId="3A79AA45" w:rsidR="001B0E47" w:rsidRPr="00114D32" w:rsidRDefault="001B0E47" w:rsidP="001B0E47">
            <w:pPr>
              <w:tabs>
                <w:tab w:val="left" w:pos="356"/>
                <w:tab w:val="left" w:pos="567"/>
                <w:tab w:val="left" w:pos="2268"/>
              </w:tabs>
              <w:jc w:val="both"/>
              <w:rPr>
                <w:rFonts w:ascii="Garamond" w:hAnsi="Garamond"/>
                <w:sz w:val="22"/>
                <w:lang w:val="fr-BE"/>
              </w:rPr>
            </w:pPr>
            <w:r w:rsidRPr="00114D32">
              <w:rPr>
                <w:rFonts w:ascii="Garamond" w:hAnsi="Garamond"/>
                <w:sz w:val="22"/>
                <w:lang w:val="fr-BE"/>
              </w:rPr>
              <w:t xml:space="preserve">1° </w:t>
            </w:r>
            <w:r w:rsidR="00C9542E">
              <w:rPr>
                <w:rFonts w:ascii="Garamond" w:hAnsi="Garamond"/>
                <w:sz w:val="22"/>
                <w:lang w:val="fr-BE"/>
              </w:rPr>
              <w:t>l</w:t>
            </w:r>
            <w:r w:rsidRPr="00114D32">
              <w:rPr>
                <w:rFonts w:ascii="Garamond" w:hAnsi="Garamond"/>
                <w:sz w:val="22"/>
                <w:lang w:val="fr-BE"/>
              </w:rPr>
              <w:t xml:space="preserve">es nouveaux aliments </w:t>
            </w:r>
            <w:r w:rsidR="004E5F07">
              <w:rPr>
                <w:rFonts w:ascii="Garamond" w:hAnsi="Garamond"/>
                <w:sz w:val="22"/>
                <w:lang w:val="fr-BE"/>
              </w:rPr>
              <w:t>autorisés dans le cadre</w:t>
            </w:r>
            <w:r w:rsidRPr="00114D32">
              <w:rPr>
                <w:rFonts w:ascii="Garamond" w:hAnsi="Garamond"/>
                <w:sz w:val="22"/>
                <w:lang w:val="fr-BE"/>
              </w:rPr>
              <w:t xml:space="preserve"> du règlement (UE) n° 2015/2283 du Parlement européen et du Conseil du 25 novembre 2015 relatif aux nouveaux aliments</w:t>
            </w:r>
            <w:r w:rsidR="00753A36">
              <w:rPr>
                <w:rFonts w:ascii="Garamond" w:hAnsi="Garamond"/>
                <w:sz w:val="22"/>
                <w:lang w:val="fr-BE"/>
              </w:rPr>
              <w:t xml:space="preserve">, </w:t>
            </w:r>
            <w:r w:rsidR="00753A36" w:rsidRPr="00753A36">
              <w:rPr>
                <w:rFonts w:ascii="Garamond" w:hAnsi="Garamond"/>
                <w:sz w:val="22"/>
                <w:lang w:val="fr-BE"/>
              </w:rPr>
              <w:t>modifiant le règlement (UE) n° 1169/2011 du Parlement européen et du Conseil et abrogeant le règlement (CE) n° 258/97 du Parlement européen et du Conseil et le règlement (CE) n° 1852/2001 de la Commission</w:t>
            </w:r>
            <w:r w:rsidRPr="00114D32">
              <w:rPr>
                <w:rFonts w:ascii="Garamond" w:hAnsi="Garamond"/>
                <w:sz w:val="22"/>
                <w:lang w:val="fr-BE"/>
              </w:rPr>
              <w:t xml:space="preserve"> ;</w:t>
            </w:r>
          </w:p>
          <w:p w14:paraId="74B8443C" w14:textId="77777777" w:rsidR="00753A36" w:rsidRDefault="00753A36" w:rsidP="001B0E47">
            <w:pPr>
              <w:tabs>
                <w:tab w:val="left" w:pos="356"/>
                <w:tab w:val="left" w:pos="567"/>
                <w:tab w:val="left" w:pos="2268"/>
              </w:tabs>
              <w:jc w:val="both"/>
              <w:rPr>
                <w:rFonts w:ascii="Garamond" w:hAnsi="Garamond"/>
                <w:sz w:val="22"/>
                <w:lang w:val="fr-BE"/>
              </w:rPr>
            </w:pPr>
          </w:p>
          <w:p w14:paraId="1DDC5B90" w14:textId="7ECBF859" w:rsidR="00753A36" w:rsidRDefault="00753A36" w:rsidP="001B0E47">
            <w:pPr>
              <w:tabs>
                <w:tab w:val="left" w:pos="356"/>
                <w:tab w:val="left" w:pos="567"/>
                <w:tab w:val="left" w:pos="2268"/>
              </w:tabs>
              <w:jc w:val="both"/>
              <w:rPr>
                <w:rFonts w:ascii="Garamond" w:hAnsi="Garamond"/>
                <w:sz w:val="22"/>
                <w:lang w:val="fr-BE"/>
              </w:rPr>
            </w:pPr>
          </w:p>
          <w:p w14:paraId="7203629E" w14:textId="77777777" w:rsidR="00716F8A" w:rsidRDefault="00716F8A" w:rsidP="001B0E47">
            <w:pPr>
              <w:tabs>
                <w:tab w:val="left" w:pos="356"/>
                <w:tab w:val="left" w:pos="567"/>
                <w:tab w:val="left" w:pos="2268"/>
              </w:tabs>
              <w:jc w:val="both"/>
              <w:rPr>
                <w:rFonts w:ascii="Garamond" w:hAnsi="Garamond"/>
                <w:sz w:val="22"/>
                <w:lang w:val="fr-BE"/>
              </w:rPr>
            </w:pPr>
          </w:p>
          <w:p w14:paraId="1302469A" w14:textId="1B96970F" w:rsidR="001B0E47" w:rsidRPr="00114D32"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2</w:t>
            </w:r>
            <w:r w:rsidRPr="00114D32">
              <w:rPr>
                <w:rFonts w:ascii="Garamond" w:hAnsi="Garamond"/>
                <w:sz w:val="22"/>
                <w:lang w:val="fr-BE"/>
              </w:rPr>
              <w:t xml:space="preserve">° </w:t>
            </w:r>
            <w:r w:rsidR="00C9542E">
              <w:rPr>
                <w:rFonts w:ascii="Garamond" w:hAnsi="Garamond"/>
                <w:sz w:val="22"/>
                <w:lang w:val="fr-BE"/>
              </w:rPr>
              <w:t>l</w:t>
            </w:r>
            <w:r w:rsidRPr="00114D32">
              <w:rPr>
                <w:rFonts w:ascii="Garamond" w:hAnsi="Garamond"/>
                <w:sz w:val="22"/>
                <w:lang w:val="fr-BE"/>
              </w:rPr>
              <w:t xml:space="preserve">es compléments alimentaires </w:t>
            </w:r>
            <w:r w:rsidR="00502F8E">
              <w:rPr>
                <w:rFonts w:ascii="Garamond" w:hAnsi="Garamond"/>
                <w:sz w:val="22"/>
                <w:lang w:val="fr-BE"/>
              </w:rPr>
              <w:t xml:space="preserve">couverts par les arrêtés royaux du </w:t>
            </w:r>
            <w:r w:rsidR="00EE2F7F" w:rsidRPr="008624C5">
              <w:rPr>
                <w:rFonts w:ascii="Garamond" w:hAnsi="Garamond"/>
                <w:sz w:val="22"/>
                <w:lang w:val="fr-BE"/>
              </w:rPr>
              <w:t>30 mai 2021 concernant la mise dans le commerce de nutriments et de denrées alimentaires auxquelles des nutriments ont été ajoutés</w:t>
            </w:r>
            <w:r w:rsidR="00EE2F7F">
              <w:rPr>
                <w:rFonts w:ascii="Garamond" w:hAnsi="Garamond"/>
                <w:sz w:val="22"/>
                <w:lang w:val="fr-BE"/>
              </w:rPr>
              <w:t xml:space="preserve">, </w:t>
            </w:r>
            <w:r w:rsidR="00EE2F7F" w:rsidRPr="008624C5">
              <w:rPr>
                <w:rFonts w:ascii="Garamond" w:hAnsi="Garamond"/>
                <w:sz w:val="22"/>
                <w:lang w:val="fr-BE"/>
              </w:rPr>
              <w:t>du 29 août 2021 relatif à la fabrication et au commerce de compléments alimentaires contenant d’autres substances que des nutriments et des plantes ou des préparations de plantes</w:t>
            </w:r>
            <w:r w:rsidR="00EE2F7F">
              <w:rPr>
                <w:rFonts w:ascii="Garamond" w:hAnsi="Garamond"/>
                <w:sz w:val="22"/>
                <w:lang w:val="fr-BE"/>
              </w:rPr>
              <w:t xml:space="preserve"> et du </w:t>
            </w:r>
            <w:r w:rsidR="00EE2F7F" w:rsidRPr="008624C5">
              <w:rPr>
                <w:rFonts w:ascii="Garamond" w:hAnsi="Garamond"/>
                <w:sz w:val="22"/>
                <w:lang w:val="fr-BE"/>
              </w:rPr>
              <w:t>31 août 2021 relatif à la fabrication et au commerce de denrées alimentaires composées ou contenant des plantes ou préparations de plantes</w:t>
            </w:r>
            <w:r w:rsidRPr="00114D32">
              <w:rPr>
                <w:rFonts w:ascii="Garamond" w:hAnsi="Garamond"/>
                <w:sz w:val="22"/>
                <w:lang w:val="fr-BE"/>
              </w:rPr>
              <w:t xml:space="preserve"> ;</w:t>
            </w:r>
          </w:p>
          <w:p w14:paraId="16C80D9D" w14:textId="77777777" w:rsidR="00753A36" w:rsidRDefault="00753A36" w:rsidP="001B0E47">
            <w:pPr>
              <w:tabs>
                <w:tab w:val="left" w:pos="356"/>
                <w:tab w:val="left" w:pos="567"/>
                <w:tab w:val="left" w:pos="2268"/>
              </w:tabs>
              <w:jc w:val="both"/>
              <w:rPr>
                <w:rFonts w:ascii="Garamond" w:hAnsi="Garamond"/>
                <w:sz w:val="22"/>
                <w:lang w:val="fr-BE"/>
              </w:rPr>
            </w:pPr>
          </w:p>
          <w:p w14:paraId="47F9B47C" w14:textId="5DE28C5E" w:rsidR="001B0E47"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3</w:t>
            </w:r>
            <w:r w:rsidRPr="00114D32">
              <w:rPr>
                <w:rFonts w:ascii="Garamond" w:hAnsi="Garamond"/>
                <w:sz w:val="22"/>
                <w:lang w:val="fr-BE"/>
              </w:rPr>
              <w:t xml:space="preserve">° </w:t>
            </w:r>
            <w:r w:rsidR="00C9542E">
              <w:rPr>
                <w:rFonts w:ascii="Garamond" w:hAnsi="Garamond"/>
                <w:sz w:val="22"/>
                <w:lang w:val="fr-BE"/>
              </w:rPr>
              <w:t>l</w:t>
            </w:r>
            <w:r w:rsidRPr="00114D32">
              <w:rPr>
                <w:rFonts w:ascii="Garamond" w:hAnsi="Garamond"/>
                <w:sz w:val="22"/>
                <w:lang w:val="fr-BE"/>
              </w:rPr>
              <w:t>es denrées alimentaires couvertes par le règlement (UE) n° 609/2013 du Parlement européen et du Conseil du 12 juin 2013 concernant les denrées alimentaires destinées aux nourrissons et aux enfants en bas âge, les denrées alimentaires destinées à des fins médicales spéciales et les substituts de la ration journalière totale pour contrôle du poids</w:t>
            </w:r>
            <w:r w:rsidR="004E5F07">
              <w:rPr>
                <w:rFonts w:ascii="Garamond" w:hAnsi="Garamond"/>
                <w:sz w:val="22"/>
                <w:lang w:val="fr-BE"/>
              </w:rPr>
              <w:t> ;</w:t>
            </w:r>
          </w:p>
          <w:p w14:paraId="6BD3257F" w14:textId="55940E57" w:rsidR="004E5F07" w:rsidRDefault="004E5F07" w:rsidP="004E5F07">
            <w:pPr>
              <w:tabs>
                <w:tab w:val="left" w:pos="356"/>
                <w:tab w:val="left" w:pos="567"/>
                <w:tab w:val="left" w:pos="2268"/>
              </w:tabs>
              <w:jc w:val="both"/>
              <w:rPr>
                <w:rFonts w:ascii="Garamond" w:hAnsi="Garamond"/>
                <w:sz w:val="22"/>
                <w:lang w:val="fr-BE"/>
              </w:rPr>
            </w:pPr>
            <w:r>
              <w:rPr>
                <w:rFonts w:ascii="Garamond" w:hAnsi="Garamond"/>
                <w:sz w:val="22"/>
                <w:lang w:val="fr-BE"/>
              </w:rPr>
              <w:t xml:space="preserve">4° les denrées alimentaires couvertes par le règlement </w:t>
            </w:r>
            <w:r w:rsidRPr="004E5F07">
              <w:rPr>
                <w:rFonts w:ascii="Garamond" w:hAnsi="Garamond"/>
                <w:sz w:val="22"/>
                <w:lang w:val="fr-BE"/>
              </w:rPr>
              <w:t xml:space="preserve">(CE) </w:t>
            </w:r>
            <w:r>
              <w:rPr>
                <w:rFonts w:ascii="Garamond" w:hAnsi="Garamond"/>
                <w:sz w:val="22"/>
                <w:lang w:val="fr-BE"/>
              </w:rPr>
              <w:t xml:space="preserve">n° </w:t>
            </w:r>
            <w:r w:rsidRPr="004E5F07">
              <w:rPr>
                <w:rFonts w:ascii="Garamond" w:hAnsi="Garamond"/>
                <w:sz w:val="22"/>
                <w:lang w:val="fr-BE"/>
              </w:rPr>
              <w:t xml:space="preserve">1925/2006 </w:t>
            </w:r>
            <w:r>
              <w:rPr>
                <w:rFonts w:ascii="Garamond" w:hAnsi="Garamond"/>
                <w:sz w:val="22"/>
                <w:lang w:val="fr-BE"/>
              </w:rPr>
              <w:t xml:space="preserve">du Parlement européen et du Conseil </w:t>
            </w:r>
            <w:r w:rsidRPr="004E5F07">
              <w:rPr>
                <w:rFonts w:ascii="Garamond" w:hAnsi="Garamond"/>
                <w:sz w:val="22"/>
                <w:lang w:val="fr-BE"/>
              </w:rPr>
              <w:t>du 20 décembre 2006</w:t>
            </w:r>
            <w:r>
              <w:rPr>
                <w:rFonts w:ascii="Garamond" w:hAnsi="Garamond"/>
                <w:sz w:val="22"/>
                <w:lang w:val="fr-BE"/>
              </w:rPr>
              <w:t xml:space="preserve"> </w:t>
            </w:r>
            <w:r w:rsidRPr="004E5F07">
              <w:rPr>
                <w:rFonts w:ascii="Garamond" w:hAnsi="Garamond"/>
                <w:sz w:val="22"/>
                <w:lang w:val="fr-BE"/>
              </w:rPr>
              <w:t>concernant l'adjonction de vitamines, de minéraux et de certaines autres substances aux denrées alimentaires</w:t>
            </w:r>
            <w:r w:rsidR="00393CDE">
              <w:rPr>
                <w:rFonts w:ascii="Garamond" w:hAnsi="Garamond"/>
                <w:sz w:val="22"/>
                <w:lang w:val="fr-BE"/>
              </w:rPr>
              <w:t>.</w:t>
            </w:r>
          </w:p>
          <w:p w14:paraId="4B64032B" w14:textId="77777777" w:rsidR="001B0E47" w:rsidRDefault="001B0E47" w:rsidP="001B0E47">
            <w:pPr>
              <w:tabs>
                <w:tab w:val="left" w:pos="356"/>
                <w:tab w:val="left" w:pos="567"/>
                <w:tab w:val="left" w:pos="2268"/>
              </w:tabs>
              <w:jc w:val="both"/>
              <w:rPr>
                <w:rFonts w:ascii="Garamond" w:hAnsi="Garamond"/>
                <w:sz w:val="22"/>
                <w:lang w:val="fr-BE"/>
              </w:rPr>
            </w:pPr>
          </w:p>
          <w:p w14:paraId="000878C2" w14:textId="0091F28A" w:rsidR="00CB570F"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§3.</w:t>
            </w:r>
            <w:r w:rsidR="00EE2F7F">
              <w:rPr>
                <w:rFonts w:ascii="Garamond" w:hAnsi="Garamond"/>
                <w:sz w:val="22"/>
                <w:lang w:val="fr-BE"/>
              </w:rPr>
              <w:t xml:space="preserve"> </w:t>
            </w:r>
            <w:r w:rsidR="00CB570F">
              <w:rPr>
                <w:rFonts w:ascii="Garamond" w:hAnsi="Garamond"/>
                <w:sz w:val="22"/>
                <w:lang w:val="fr-BE"/>
              </w:rPr>
              <w:t>L</w:t>
            </w:r>
            <w:r w:rsidRPr="00114D32">
              <w:rPr>
                <w:rFonts w:ascii="Garamond" w:hAnsi="Garamond"/>
                <w:sz w:val="22"/>
                <w:lang w:val="fr-BE"/>
              </w:rPr>
              <w:t>e système de nutrivigilance est utilisé</w:t>
            </w:r>
            <w:r w:rsidR="00CB570F">
              <w:rPr>
                <w:rFonts w:ascii="Garamond" w:hAnsi="Garamond"/>
                <w:sz w:val="22"/>
                <w:lang w:val="fr-BE"/>
              </w:rPr>
              <w:t> :</w:t>
            </w:r>
          </w:p>
          <w:p w14:paraId="3738B461" w14:textId="77777777" w:rsidR="00CB570F" w:rsidRDefault="00CB570F" w:rsidP="001B0E47">
            <w:pPr>
              <w:tabs>
                <w:tab w:val="left" w:pos="356"/>
                <w:tab w:val="left" w:pos="567"/>
                <w:tab w:val="left" w:pos="2268"/>
              </w:tabs>
              <w:jc w:val="both"/>
              <w:rPr>
                <w:rFonts w:ascii="Garamond" w:hAnsi="Garamond"/>
                <w:sz w:val="22"/>
                <w:lang w:val="fr-BE"/>
              </w:rPr>
            </w:pPr>
            <w:r>
              <w:rPr>
                <w:rFonts w:ascii="Garamond" w:hAnsi="Garamond"/>
                <w:sz w:val="22"/>
                <w:lang w:val="fr-BE"/>
              </w:rPr>
              <w:t xml:space="preserve">1° </w:t>
            </w:r>
            <w:r w:rsidR="001B0E47" w:rsidRPr="00114D32">
              <w:rPr>
                <w:rFonts w:ascii="Garamond" w:hAnsi="Garamond"/>
                <w:sz w:val="22"/>
                <w:lang w:val="fr-BE"/>
              </w:rPr>
              <w:t xml:space="preserve">pour procéder à l'évaluation scientifique de toutes les informations, </w:t>
            </w:r>
          </w:p>
          <w:p w14:paraId="517F4F75" w14:textId="77777777" w:rsidR="00CB570F" w:rsidRDefault="00CB570F" w:rsidP="001B0E47">
            <w:pPr>
              <w:tabs>
                <w:tab w:val="left" w:pos="356"/>
                <w:tab w:val="left" w:pos="567"/>
                <w:tab w:val="left" w:pos="2268"/>
              </w:tabs>
              <w:jc w:val="both"/>
              <w:rPr>
                <w:rFonts w:ascii="Garamond" w:hAnsi="Garamond"/>
                <w:sz w:val="22"/>
                <w:lang w:val="fr-BE"/>
              </w:rPr>
            </w:pPr>
            <w:r>
              <w:rPr>
                <w:rFonts w:ascii="Garamond" w:hAnsi="Garamond"/>
                <w:sz w:val="22"/>
                <w:lang w:val="fr-BE"/>
              </w:rPr>
              <w:t xml:space="preserve">2° </w:t>
            </w:r>
            <w:r w:rsidR="001B0E47" w:rsidRPr="00114D32">
              <w:rPr>
                <w:rFonts w:ascii="Garamond" w:hAnsi="Garamond"/>
                <w:sz w:val="22"/>
                <w:lang w:val="fr-BE"/>
              </w:rPr>
              <w:t xml:space="preserve">pour examiner les options permettant de prévenir les risques ou de les réduire </w:t>
            </w:r>
          </w:p>
          <w:p w14:paraId="48CB6AA4" w14:textId="4EE30B95" w:rsidR="001B0E47" w:rsidRDefault="00CB570F" w:rsidP="001B0E47">
            <w:pPr>
              <w:tabs>
                <w:tab w:val="left" w:pos="356"/>
                <w:tab w:val="left" w:pos="567"/>
                <w:tab w:val="left" w:pos="2268"/>
              </w:tabs>
              <w:jc w:val="both"/>
              <w:rPr>
                <w:rFonts w:ascii="Garamond" w:hAnsi="Garamond"/>
                <w:sz w:val="22"/>
                <w:lang w:val="fr-BE"/>
              </w:rPr>
            </w:pPr>
            <w:r>
              <w:rPr>
                <w:rFonts w:ascii="Garamond" w:hAnsi="Garamond"/>
                <w:sz w:val="22"/>
                <w:lang w:val="fr-BE"/>
              </w:rPr>
              <w:t xml:space="preserve">3° </w:t>
            </w:r>
            <w:r w:rsidR="001B0E47" w:rsidRPr="00114D32">
              <w:rPr>
                <w:rFonts w:ascii="Garamond" w:hAnsi="Garamond"/>
                <w:sz w:val="22"/>
                <w:lang w:val="fr-BE"/>
              </w:rPr>
              <w:t>et, au besoin, pour prendre des mesures d'ordre réglementaire concernant les ingrédients ou les produits.</w:t>
            </w:r>
          </w:p>
          <w:p w14:paraId="1E870F59" w14:textId="77777777" w:rsidR="001B0E47" w:rsidRDefault="001B0E47" w:rsidP="001B0E47">
            <w:pPr>
              <w:tabs>
                <w:tab w:val="left" w:pos="356"/>
                <w:tab w:val="left" w:pos="567"/>
                <w:tab w:val="left" w:pos="2268"/>
              </w:tabs>
              <w:jc w:val="both"/>
              <w:rPr>
                <w:rFonts w:ascii="Garamond" w:hAnsi="Garamond"/>
                <w:sz w:val="22"/>
                <w:lang w:val="fr-BE"/>
              </w:rPr>
            </w:pPr>
          </w:p>
          <w:p w14:paraId="41AF7BB5" w14:textId="77777777" w:rsidR="001B0E47"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 xml:space="preserve">§4. Le Service </w:t>
            </w:r>
            <w:r w:rsidRPr="00114D32">
              <w:rPr>
                <w:rFonts w:ascii="Garamond" w:hAnsi="Garamond"/>
                <w:sz w:val="22"/>
                <w:lang w:val="fr-BE"/>
              </w:rPr>
              <w:t>prend les mesures nécessaires pour assurer la mise en œuvre du système de nutrivigilance, notamment celles relatives :</w:t>
            </w:r>
          </w:p>
          <w:p w14:paraId="5FC8F76C" w14:textId="77777777" w:rsidR="00AF280E" w:rsidRDefault="00AF280E" w:rsidP="001B0E47">
            <w:pPr>
              <w:tabs>
                <w:tab w:val="left" w:pos="356"/>
                <w:tab w:val="left" w:pos="567"/>
                <w:tab w:val="left" w:pos="2268"/>
              </w:tabs>
              <w:jc w:val="both"/>
              <w:rPr>
                <w:rFonts w:ascii="Garamond" w:hAnsi="Garamond"/>
                <w:sz w:val="22"/>
                <w:lang w:val="fr-BE"/>
              </w:rPr>
            </w:pPr>
          </w:p>
          <w:p w14:paraId="47A64623" w14:textId="2220CF99" w:rsidR="001B0E47" w:rsidRPr="00114D32"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 xml:space="preserve">1° </w:t>
            </w:r>
            <w:r w:rsidRPr="00114D32">
              <w:rPr>
                <w:rFonts w:ascii="Garamond" w:hAnsi="Garamond"/>
                <w:sz w:val="22"/>
                <w:lang w:val="fr-BE"/>
              </w:rPr>
              <w:t>à la mise en place d'un portail web national sur les denrées alimentaires disponible sur le site du SPF Santé publique, Sécurité de la Chaîne alimentaire et Environnement et d’autres modes de déclaration ;</w:t>
            </w:r>
          </w:p>
          <w:p w14:paraId="50DD9A1C" w14:textId="66642372" w:rsidR="001B0E47"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2°</w:t>
            </w:r>
            <w:r w:rsidRPr="00114D32">
              <w:rPr>
                <w:rFonts w:ascii="Garamond" w:hAnsi="Garamond"/>
                <w:sz w:val="22"/>
                <w:lang w:val="fr-BE"/>
              </w:rPr>
              <w:t xml:space="preserve"> à l'enregistrement et au suivi de tout effet indésirable suspecté survenant sur le territoire belge et porté à sa connaissance par des opérateurs, des professionnels de la santé ou des citoyens;</w:t>
            </w:r>
          </w:p>
          <w:p w14:paraId="2AB0B64A" w14:textId="584E019C" w:rsidR="00FF4539" w:rsidRDefault="00FF4539" w:rsidP="001B0E47">
            <w:pPr>
              <w:tabs>
                <w:tab w:val="left" w:pos="356"/>
                <w:tab w:val="left" w:pos="567"/>
                <w:tab w:val="left" w:pos="2268"/>
              </w:tabs>
              <w:jc w:val="both"/>
              <w:rPr>
                <w:rFonts w:ascii="Garamond" w:hAnsi="Garamond"/>
                <w:sz w:val="22"/>
                <w:lang w:val="fr-BE"/>
              </w:rPr>
            </w:pPr>
          </w:p>
          <w:p w14:paraId="43A09783" w14:textId="6015C277" w:rsidR="00FF4539" w:rsidRDefault="00FF4539" w:rsidP="001B0E47">
            <w:pPr>
              <w:tabs>
                <w:tab w:val="left" w:pos="356"/>
                <w:tab w:val="left" w:pos="567"/>
                <w:tab w:val="left" w:pos="2268"/>
              </w:tabs>
              <w:jc w:val="both"/>
              <w:rPr>
                <w:rFonts w:ascii="Garamond" w:hAnsi="Garamond"/>
                <w:sz w:val="22"/>
                <w:lang w:val="fr-BE"/>
              </w:rPr>
            </w:pPr>
          </w:p>
          <w:p w14:paraId="3DD23FC6" w14:textId="77777777" w:rsidR="009E396F" w:rsidRPr="00114D32" w:rsidRDefault="009E396F" w:rsidP="001B0E47">
            <w:pPr>
              <w:tabs>
                <w:tab w:val="left" w:pos="356"/>
                <w:tab w:val="left" w:pos="567"/>
                <w:tab w:val="left" w:pos="2268"/>
              </w:tabs>
              <w:jc w:val="both"/>
              <w:rPr>
                <w:rFonts w:ascii="Garamond" w:hAnsi="Garamond"/>
                <w:sz w:val="22"/>
                <w:lang w:val="fr-BE"/>
              </w:rPr>
            </w:pPr>
          </w:p>
          <w:p w14:paraId="606E0581" w14:textId="2BD5F79A" w:rsidR="001B0E47" w:rsidRPr="00114D32"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3°</w:t>
            </w:r>
            <w:r w:rsidRPr="00114D32">
              <w:rPr>
                <w:rFonts w:ascii="Garamond" w:hAnsi="Garamond"/>
                <w:sz w:val="22"/>
                <w:lang w:val="fr-BE"/>
              </w:rPr>
              <w:t xml:space="preserve"> à l'évaluation et au suivi des données résultant des activités de nutrivigilance, notamment de la Commission de Nutrivigilance mise en place par l’arrêté royal du XXX 2023;</w:t>
            </w:r>
          </w:p>
          <w:p w14:paraId="40C9369D" w14:textId="77777777" w:rsidR="00AF280E" w:rsidRDefault="00AF280E" w:rsidP="001B0E47">
            <w:pPr>
              <w:tabs>
                <w:tab w:val="left" w:pos="356"/>
                <w:tab w:val="left" w:pos="567"/>
                <w:tab w:val="left" w:pos="2268"/>
              </w:tabs>
              <w:jc w:val="both"/>
              <w:rPr>
                <w:rFonts w:ascii="Garamond" w:hAnsi="Garamond"/>
                <w:sz w:val="22"/>
                <w:lang w:val="fr-BE"/>
              </w:rPr>
            </w:pPr>
          </w:p>
          <w:p w14:paraId="77D5FDD3" w14:textId="1713DFC1" w:rsidR="001B0E47"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4°</w:t>
            </w:r>
            <w:r w:rsidRPr="00114D32">
              <w:rPr>
                <w:rFonts w:ascii="Garamond" w:hAnsi="Garamond"/>
                <w:sz w:val="22"/>
                <w:lang w:val="fr-BE"/>
              </w:rPr>
              <w:t xml:space="preserve"> à la surveillance des études scientifiques sur les effets indésirables des denrées alimentaires.</w:t>
            </w:r>
          </w:p>
          <w:p w14:paraId="707BB133" w14:textId="77777777" w:rsidR="00191D20" w:rsidRDefault="00191D20" w:rsidP="001B0E47">
            <w:pPr>
              <w:tabs>
                <w:tab w:val="left" w:pos="356"/>
                <w:tab w:val="left" w:pos="567"/>
                <w:tab w:val="left" w:pos="2268"/>
              </w:tabs>
              <w:jc w:val="both"/>
              <w:rPr>
                <w:rFonts w:ascii="Garamond" w:hAnsi="Garamond"/>
                <w:sz w:val="22"/>
                <w:lang w:val="fr-BE"/>
              </w:rPr>
            </w:pPr>
          </w:p>
          <w:p w14:paraId="39C4376B" w14:textId="5F8BE954" w:rsidR="001B0E47" w:rsidRPr="00933707" w:rsidRDefault="00933707" w:rsidP="001B0E47">
            <w:pPr>
              <w:tabs>
                <w:tab w:val="left" w:pos="356"/>
                <w:tab w:val="left" w:pos="567"/>
                <w:tab w:val="left" w:pos="2268"/>
              </w:tabs>
              <w:jc w:val="both"/>
              <w:rPr>
                <w:rFonts w:ascii="Garamond" w:hAnsi="Garamond"/>
                <w:sz w:val="22"/>
                <w:szCs w:val="22"/>
                <w:lang w:val="fr-BE"/>
              </w:rPr>
            </w:pPr>
            <w:r w:rsidRPr="00933707">
              <w:rPr>
                <w:rFonts w:ascii="Garamond" w:hAnsi="Garamond"/>
                <w:sz w:val="22"/>
                <w:szCs w:val="22"/>
                <w:lang w:val="fr-BE"/>
              </w:rPr>
              <w:t xml:space="preserve">§5. Le </w:t>
            </w:r>
            <w:r w:rsidR="00CD3A21">
              <w:rPr>
                <w:rFonts w:ascii="Garamond" w:hAnsi="Garamond"/>
                <w:sz w:val="22"/>
                <w:szCs w:val="22"/>
                <w:lang w:val="fr-BE"/>
              </w:rPr>
              <w:t>S</w:t>
            </w:r>
            <w:r w:rsidRPr="00933707">
              <w:rPr>
                <w:rFonts w:ascii="Garamond" w:hAnsi="Garamond"/>
                <w:sz w:val="22"/>
                <w:szCs w:val="22"/>
                <w:lang w:val="fr-BE"/>
              </w:rPr>
              <w:t xml:space="preserve">ervice s’engage à suivre le </w:t>
            </w:r>
            <w:r w:rsidRPr="00191D20">
              <w:rPr>
                <w:rFonts w:ascii="Garamond" w:hAnsi="Garamond" w:cs="Calibri"/>
                <w:sz w:val="22"/>
                <w:szCs w:val="22"/>
              </w:rPr>
              <w:t>règlement (UE) 2016/679 du Parlement européen et du Conseil du 27 avril 2016 relatif à la protection des personnes physiques à l’égard du traitement des données à caractère personnel et à la libre circulation de ces données, et abrogeant la directive 95/46</w:t>
            </w:r>
            <w:r w:rsidR="00FC582B">
              <w:rPr>
                <w:rFonts w:ascii="Garamond" w:hAnsi="Garamond" w:cs="Calibri"/>
                <w:sz w:val="22"/>
                <w:szCs w:val="22"/>
              </w:rPr>
              <w:t>/</w:t>
            </w:r>
            <w:r w:rsidRPr="00191D20">
              <w:rPr>
                <w:rFonts w:ascii="Garamond" w:hAnsi="Garamond" w:cs="Calibri"/>
                <w:sz w:val="22"/>
                <w:szCs w:val="22"/>
              </w:rPr>
              <w:t>CE </w:t>
            </w:r>
            <w:r>
              <w:rPr>
                <w:rFonts w:ascii="Garamond" w:hAnsi="Garamond" w:cs="Calibri"/>
                <w:sz w:val="22"/>
                <w:szCs w:val="22"/>
              </w:rPr>
              <w:t xml:space="preserve"> dans le cadre de la m</w:t>
            </w:r>
            <w:r w:rsidR="00FF4539">
              <w:rPr>
                <w:rFonts w:ascii="Garamond" w:hAnsi="Garamond" w:cs="Calibri"/>
                <w:sz w:val="22"/>
                <w:szCs w:val="22"/>
              </w:rPr>
              <w:t>i</w:t>
            </w:r>
            <w:r>
              <w:rPr>
                <w:rFonts w:ascii="Garamond" w:hAnsi="Garamond" w:cs="Calibri"/>
                <w:sz w:val="22"/>
                <w:szCs w:val="22"/>
              </w:rPr>
              <w:t>se en œuvre  et du contrôle du système de</w:t>
            </w:r>
            <w:r w:rsidR="00FF4539">
              <w:rPr>
                <w:rFonts w:ascii="Garamond" w:hAnsi="Garamond" w:cs="Calibri"/>
                <w:sz w:val="22"/>
                <w:szCs w:val="22"/>
              </w:rPr>
              <w:t xml:space="preserve"> </w:t>
            </w:r>
            <w:r>
              <w:rPr>
                <w:rFonts w:ascii="Garamond" w:hAnsi="Garamond" w:cs="Calibri"/>
                <w:sz w:val="22"/>
                <w:szCs w:val="22"/>
              </w:rPr>
              <w:t>Nutrivigil</w:t>
            </w:r>
            <w:r w:rsidR="00A8492F">
              <w:rPr>
                <w:rFonts w:ascii="Garamond" w:hAnsi="Garamond" w:cs="Calibri"/>
                <w:sz w:val="22"/>
                <w:szCs w:val="22"/>
              </w:rPr>
              <w:t>a</w:t>
            </w:r>
            <w:r>
              <w:rPr>
                <w:rFonts w:ascii="Garamond" w:hAnsi="Garamond" w:cs="Calibri"/>
                <w:sz w:val="22"/>
                <w:szCs w:val="22"/>
              </w:rPr>
              <w:t xml:space="preserve">nce. </w:t>
            </w:r>
          </w:p>
          <w:p w14:paraId="43D231CC" w14:textId="609445FB" w:rsidR="00AF280E" w:rsidRDefault="00AF280E" w:rsidP="001B0E47">
            <w:pPr>
              <w:tabs>
                <w:tab w:val="left" w:pos="356"/>
                <w:tab w:val="left" w:pos="567"/>
                <w:tab w:val="left" w:pos="2268"/>
              </w:tabs>
              <w:jc w:val="both"/>
              <w:rPr>
                <w:rFonts w:ascii="Garamond" w:hAnsi="Garamond"/>
                <w:sz w:val="22"/>
                <w:lang w:val="fr-BE"/>
              </w:rPr>
            </w:pPr>
          </w:p>
          <w:p w14:paraId="334DA41F" w14:textId="77777777" w:rsidR="00FF4539" w:rsidRDefault="00FF4539" w:rsidP="001B0E47">
            <w:pPr>
              <w:tabs>
                <w:tab w:val="left" w:pos="356"/>
                <w:tab w:val="left" w:pos="567"/>
                <w:tab w:val="left" w:pos="2268"/>
              </w:tabs>
              <w:jc w:val="both"/>
              <w:rPr>
                <w:rFonts w:ascii="Garamond" w:hAnsi="Garamond"/>
                <w:sz w:val="22"/>
                <w:lang w:val="fr-BE"/>
              </w:rPr>
            </w:pPr>
          </w:p>
          <w:p w14:paraId="6777914B" w14:textId="11AB1988" w:rsidR="001B0E47" w:rsidRPr="00114D32" w:rsidRDefault="001B0E47" w:rsidP="001B0E47">
            <w:pPr>
              <w:tabs>
                <w:tab w:val="left" w:pos="356"/>
                <w:tab w:val="left" w:pos="567"/>
                <w:tab w:val="left" w:pos="2268"/>
              </w:tabs>
              <w:jc w:val="both"/>
              <w:rPr>
                <w:rFonts w:ascii="Garamond" w:hAnsi="Garamond"/>
                <w:sz w:val="22"/>
                <w:lang w:val="fr-BE"/>
              </w:rPr>
            </w:pPr>
            <w:r w:rsidRPr="00114D32">
              <w:rPr>
                <w:rFonts w:ascii="Garamond" w:hAnsi="Garamond"/>
                <w:sz w:val="22"/>
                <w:lang w:val="fr-BE"/>
              </w:rPr>
              <w:t>§</w:t>
            </w:r>
            <w:r w:rsidR="00AF280E">
              <w:rPr>
                <w:rFonts w:ascii="Garamond" w:hAnsi="Garamond"/>
                <w:sz w:val="22"/>
                <w:lang w:val="fr-BE"/>
              </w:rPr>
              <w:t>6</w:t>
            </w:r>
            <w:r w:rsidRPr="00114D32">
              <w:rPr>
                <w:rFonts w:ascii="Garamond" w:hAnsi="Garamond"/>
                <w:sz w:val="22"/>
                <w:lang w:val="fr-BE"/>
              </w:rPr>
              <w:t xml:space="preserve">. En cas d’effet indésirable suspecté d’une denrée alimentaire </w:t>
            </w:r>
            <w:r w:rsidR="009E396F">
              <w:rPr>
                <w:rFonts w:ascii="Garamond" w:hAnsi="Garamond"/>
                <w:sz w:val="22"/>
                <w:lang w:val="fr-BE"/>
              </w:rPr>
              <w:t xml:space="preserve">visée au §2 </w:t>
            </w:r>
            <w:r w:rsidRPr="00114D32">
              <w:rPr>
                <w:rFonts w:ascii="Garamond" w:hAnsi="Garamond"/>
                <w:sz w:val="22"/>
                <w:lang w:val="fr-BE"/>
              </w:rPr>
              <w:t>mise dans le commerce sur le territoire belge</w:t>
            </w:r>
            <w:r w:rsidR="00CB570F">
              <w:rPr>
                <w:rFonts w:ascii="Garamond" w:hAnsi="Garamond"/>
                <w:sz w:val="22"/>
                <w:lang w:val="fr-BE"/>
              </w:rPr>
              <w:t> :</w:t>
            </w:r>
          </w:p>
          <w:p w14:paraId="710DDE02" w14:textId="31C849DA" w:rsidR="001B0E47" w:rsidRPr="00114D32" w:rsidRDefault="00AF280E" w:rsidP="001B0E47">
            <w:pPr>
              <w:tabs>
                <w:tab w:val="left" w:pos="356"/>
                <w:tab w:val="left" w:pos="567"/>
                <w:tab w:val="left" w:pos="2268"/>
              </w:tabs>
              <w:jc w:val="both"/>
              <w:rPr>
                <w:rFonts w:ascii="Garamond" w:hAnsi="Garamond"/>
                <w:sz w:val="22"/>
                <w:lang w:val="fr-BE"/>
              </w:rPr>
            </w:pPr>
            <w:r>
              <w:rPr>
                <w:rFonts w:ascii="Garamond" w:hAnsi="Garamond"/>
                <w:sz w:val="22"/>
                <w:lang w:val="fr-BE"/>
              </w:rPr>
              <w:t>1°</w:t>
            </w:r>
            <w:r w:rsidR="001B0E47" w:rsidRPr="00114D32">
              <w:rPr>
                <w:rFonts w:ascii="Garamond" w:hAnsi="Garamond"/>
                <w:sz w:val="22"/>
                <w:lang w:val="fr-BE"/>
              </w:rPr>
              <w:tab/>
              <w:t xml:space="preserve"> les opérateurs </w:t>
            </w:r>
            <w:r w:rsidR="00716F8A">
              <w:rPr>
                <w:rFonts w:ascii="Garamond" w:hAnsi="Garamond"/>
                <w:sz w:val="22"/>
                <w:lang w:val="fr-BE"/>
              </w:rPr>
              <w:t>notifient</w:t>
            </w:r>
            <w:r w:rsidR="001B0E47" w:rsidRPr="00114D32">
              <w:rPr>
                <w:rFonts w:ascii="Garamond" w:hAnsi="Garamond"/>
                <w:sz w:val="22"/>
                <w:lang w:val="fr-BE"/>
              </w:rPr>
              <w:t xml:space="preserve"> les effets indésirables dont ils ont connaissance ou dont on peut raisonnablement s’attendre à ce qu’ils aient connaissance </w:t>
            </w:r>
            <w:r w:rsidR="001B0E47">
              <w:rPr>
                <w:rFonts w:ascii="Garamond" w:hAnsi="Garamond"/>
                <w:sz w:val="22"/>
                <w:lang w:val="fr-BE"/>
              </w:rPr>
              <w:t>au Service</w:t>
            </w:r>
            <w:r w:rsidR="001B0E47" w:rsidRPr="00114D32">
              <w:rPr>
                <w:rFonts w:ascii="Garamond" w:hAnsi="Garamond"/>
                <w:sz w:val="22"/>
                <w:lang w:val="fr-BE"/>
              </w:rPr>
              <w:t xml:space="preserve"> dans un délai de 5 jours    ouvrables;</w:t>
            </w:r>
          </w:p>
          <w:p w14:paraId="54FF700D" w14:textId="644E3474" w:rsidR="001B0E47" w:rsidRDefault="00AF280E" w:rsidP="001B0E47">
            <w:pPr>
              <w:tabs>
                <w:tab w:val="left" w:pos="356"/>
                <w:tab w:val="left" w:pos="567"/>
                <w:tab w:val="left" w:pos="2268"/>
              </w:tabs>
              <w:jc w:val="both"/>
              <w:rPr>
                <w:rFonts w:ascii="Garamond" w:hAnsi="Garamond"/>
                <w:sz w:val="22"/>
                <w:lang w:val="fr-BE"/>
              </w:rPr>
            </w:pPr>
            <w:r>
              <w:rPr>
                <w:rFonts w:ascii="Garamond" w:hAnsi="Garamond"/>
                <w:sz w:val="22"/>
                <w:lang w:val="fr-BE"/>
              </w:rPr>
              <w:t>2°</w:t>
            </w:r>
            <w:r w:rsidR="001B0E47" w:rsidRPr="00114D32">
              <w:rPr>
                <w:rFonts w:ascii="Garamond" w:hAnsi="Garamond"/>
                <w:sz w:val="22"/>
                <w:lang w:val="fr-BE"/>
              </w:rPr>
              <w:tab/>
            </w:r>
            <w:r w:rsidR="001B0E47">
              <w:rPr>
                <w:rFonts w:ascii="Garamond" w:hAnsi="Garamond"/>
                <w:sz w:val="22"/>
                <w:lang w:val="fr-BE"/>
              </w:rPr>
              <w:t xml:space="preserve">les </w:t>
            </w:r>
            <w:r w:rsidR="001B0E47" w:rsidRPr="00114D32">
              <w:rPr>
                <w:rFonts w:ascii="Garamond" w:hAnsi="Garamond"/>
                <w:sz w:val="22"/>
                <w:lang w:val="fr-BE"/>
              </w:rPr>
              <w:t xml:space="preserve">organismes d’intérêt </w:t>
            </w:r>
            <w:r w:rsidR="001B0E47">
              <w:rPr>
                <w:rFonts w:ascii="Garamond" w:hAnsi="Garamond"/>
                <w:sz w:val="22"/>
                <w:lang w:val="fr-BE"/>
              </w:rPr>
              <w:t>public ou</w:t>
            </w:r>
            <w:r w:rsidR="001B0E47" w:rsidRPr="00114D32">
              <w:rPr>
                <w:rFonts w:ascii="Garamond" w:hAnsi="Garamond"/>
                <w:sz w:val="22"/>
                <w:lang w:val="fr-BE"/>
              </w:rPr>
              <w:t xml:space="preserve"> d’utilité </w:t>
            </w:r>
            <w:r w:rsidR="001B0E47">
              <w:rPr>
                <w:rFonts w:ascii="Garamond" w:hAnsi="Garamond"/>
                <w:sz w:val="22"/>
                <w:lang w:val="fr-BE"/>
              </w:rPr>
              <w:t>publique</w:t>
            </w:r>
            <w:r w:rsidR="001B0E47" w:rsidRPr="00114D32">
              <w:rPr>
                <w:rFonts w:ascii="Garamond" w:hAnsi="Garamond"/>
                <w:sz w:val="22"/>
                <w:lang w:val="fr-BE"/>
              </w:rPr>
              <w:t xml:space="preserve"> </w:t>
            </w:r>
            <w:r w:rsidR="00716F8A">
              <w:rPr>
                <w:rFonts w:ascii="Garamond" w:hAnsi="Garamond"/>
                <w:sz w:val="22"/>
                <w:lang w:val="fr-BE"/>
              </w:rPr>
              <w:t>notifient</w:t>
            </w:r>
            <w:r w:rsidR="001B0E47" w:rsidRPr="00114D32">
              <w:rPr>
                <w:rFonts w:ascii="Garamond" w:hAnsi="Garamond"/>
                <w:sz w:val="22"/>
                <w:lang w:val="fr-BE"/>
              </w:rPr>
              <w:t xml:space="preserve"> les effets indésirables dont ils ont connaissance ou dont on peut raisonnablement s’attendre à ce qu’ils aient connaissance au Service </w:t>
            </w:r>
            <w:r w:rsidR="001B0E47">
              <w:rPr>
                <w:rFonts w:ascii="Garamond" w:hAnsi="Garamond"/>
                <w:sz w:val="22"/>
                <w:lang w:val="fr-BE"/>
              </w:rPr>
              <w:t>au minimum une fois par mois</w:t>
            </w:r>
            <w:r w:rsidR="001B0E47" w:rsidRPr="00114D32">
              <w:rPr>
                <w:rFonts w:ascii="Garamond" w:hAnsi="Garamond"/>
                <w:sz w:val="22"/>
                <w:lang w:val="fr-BE"/>
              </w:rPr>
              <w:t>;</w:t>
            </w:r>
          </w:p>
          <w:p w14:paraId="57DB67ED" w14:textId="77777777" w:rsidR="00FF4539" w:rsidRDefault="00FF4539" w:rsidP="001B0E47">
            <w:pPr>
              <w:tabs>
                <w:tab w:val="left" w:pos="356"/>
                <w:tab w:val="left" w:pos="567"/>
                <w:tab w:val="left" w:pos="2268"/>
              </w:tabs>
              <w:jc w:val="both"/>
              <w:rPr>
                <w:rFonts w:ascii="Garamond" w:hAnsi="Garamond"/>
                <w:sz w:val="22"/>
                <w:lang w:val="fr-BE"/>
              </w:rPr>
            </w:pPr>
          </w:p>
          <w:p w14:paraId="08FCDE52" w14:textId="1A746B7A" w:rsidR="001B0E47" w:rsidRPr="00114D32" w:rsidRDefault="00AF280E" w:rsidP="001B0E47">
            <w:pPr>
              <w:tabs>
                <w:tab w:val="left" w:pos="356"/>
                <w:tab w:val="left" w:pos="567"/>
                <w:tab w:val="left" w:pos="2268"/>
              </w:tabs>
              <w:jc w:val="both"/>
              <w:rPr>
                <w:rFonts w:ascii="Garamond" w:hAnsi="Garamond"/>
                <w:sz w:val="22"/>
                <w:lang w:val="fr-BE"/>
              </w:rPr>
            </w:pPr>
            <w:r>
              <w:rPr>
                <w:rFonts w:ascii="Garamond" w:hAnsi="Garamond"/>
                <w:sz w:val="22"/>
                <w:lang w:val="fr-BE"/>
              </w:rPr>
              <w:t>3°</w:t>
            </w:r>
            <w:r w:rsidR="001B0E47" w:rsidRPr="00114D32">
              <w:rPr>
                <w:rFonts w:ascii="Garamond" w:hAnsi="Garamond"/>
                <w:sz w:val="22"/>
                <w:lang w:val="fr-BE"/>
              </w:rPr>
              <w:t xml:space="preserve"> </w:t>
            </w:r>
            <w:r w:rsidR="005A48A2">
              <w:rPr>
                <w:rFonts w:ascii="Garamond" w:hAnsi="Garamond"/>
                <w:sz w:val="22"/>
                <w:lang w:val="fr-BE"/>
              </w:rPr>
              <w:t>l</w:t>
            </w:r>
            <w:r w:rsidR="001B0E47" w:rsidRPr="00114D32">
              <w:rPr>
                <w:rFonts w:ascii="Garamond" w:hAnsi="Garamond"/>
                <w:sz w:val="22"/>
                <w:lang w:val="fr-BE"/>
              </w:rPr>
              <w:t>es professionnels de la santé, tels les médecins, les pharmaciens et les autres professionnels des soins de santé, ainsi que les organismes</w:t>
            </w:r>
            <w:r w:rsidR="001B0E47">
              <w:rPr>
                <w:rFonts w:ascii="Garamond" w:hAnsi="Garamond"/>
                <w:sz w:val="22"/>
                <w:lang w:val="fr-BE"/>
              </w:rPr>
              <w:t xml:space="preserve"> </w:t>
            </w:r>
            <w:r w:rsidR="001B0E47" w:rsidRPr="00114D32">
              <w:rPr>
                <w:rFonts w:ascii="Garamond" w:hAnsi="Garamond"/>
                <w:sz w:val="22"/>
                <w:lang w:val="fr-BE"/>
              </w:rPr>
              <w:t xml:space="preserve">ayant connaissance d’effets indésirables </w:t>
            </w:r>
            <w:r w:rsidR="00191D20">
              <w:rPr>
                <w:rFonts w:ascii="Garamond" w:hAnsi="Garamond"/>
                <w:sz w:val="22"/>
                <w:lang w:val="fr-BE"/>
              </w:rPr>
              <w:t xml:space="preserve">peuvent </w:t>
            </w:r>
            <w:r w:rsidR="00716F8A">
              <w:rPr>
                <w:rFonts w:ascii="Garamond" w:hAnsi="Garamond"/>
                <w:sz w:val="22"/>
                <w:lang w:val="fr-BE"/>
              </w:rPr>
              <w:t>notifier</w:t>
            </w:r>
            <w:r w:rsidR="001B0E47" w:rsidRPr="00114D32">
              <w:rPr>
                <w:rFonts w:ascii="Garamond" w:hAnsi="Garamond"/>
                <w:sz w:val="22"/>
                <w:lang w:val="fr-BE"/>
              </w:rPr>
              <w:t xml:space="preserve"> </w:t>
            </w:r>
            <w:r w:rsidR="001B0E47">
              <w:rPr>
                <w:rFonts w:ascii="Garamond" w:hAnsi="Garamond"/>
                <w:sz w:val="22"/>
                <w:lang w:val="fr-BE"/>
              </w:rPr>
              <w:t xml:space="preserve">les </w:t>
            </w:r>
            <w:r w:rsidR="001B0E47" w:rsidRPr="00114D32">
              <w:rPr>
                <w:rFonts w:ascii="Garamond" w:hAnsi="Garamond"/>
                <w:sz w:val="22"/>
                <w:lang w:val="fr-BE"/>
              </w:rPr>
              <w:t>effets indésirables suspectés;</w:t>
            </w:r>
          </w:p>
          <w:p w14:paraId="49D99295" w14:textId="4EE47441" w:rsidR="001B0E47" w:rsidRPr="005E0269" w:rsidRDefault="00AF280E" w:rsidP="001B0E47">
            <w:pPr>
              <w:tabs>
                <w:tab w:val="left" w:pos="356"/>
                <w:tab w:val="left" w:pos="567"/>
                <w:tab w:val="left" w:pos="2268"/>
              </w:tabs>
              <w:jc w:val="both"/>
              <w:rPr>
                <w:rFonts w:ascii="Garamond" w:hAnsi="Garamond"/>
                <w:sz w:val="22"/>
                <w:lang w:val="fr-BE"/>
              </w:rPr>
            </w:pPr>
            <w:r>
              <w:rPr>
                <w:rFonts w:ascii="Garamond" w:hAnsi="Garamond"/>
                <w:sz w:val="22"/>
                <w:lang w:val="fr-BE"/>
              </w:rPr>
              <w:t>4°</w:t>
            </w:r>
            <w:r w:rsidR="001B0E47" w:rsidRPr="00114D32">
              <w:rPr>
                <w:rFonts w:ascii="Garamond" w:hAnsi="Garamond"/>
                <w:sz w:val="22"/>
                <w:lang w:val="fr-BE"/>
              </w:rPr>
              <w:t xml:space="preserve"> </w:t>
            </w:r>
            <w:r w:rsidR="005A48A2">
              <w:rPr>
                <w:rFonts w:ascii="Garamond" w:hAnsi="Garamond"/>
                <w:sz w:val="22"/>
                <w:lang w:val="fr-BE"/>
              </w:rPr>
              <w:t>l</w:t>
            </w:r>
            <w:r w:rsidR="001B0E47" w:rsidRPr="00114D32">
              <w:rPr>
                <w:rFonts w:ascii="Garamond" w:hAnsi="Garamond"/>
                <w:sz w:val="22"/>
                <w:lang w:val="fr-BE"/>
              </w:rPr>
              <w:t xml:space="preserve">es citoyens </w:t>
            </w:r>
            <w:r w:rsidR="00674E2E">
              <w:rPr>
                <w:rFonts w:ascii="Garamond" w:hAnsi="Garamond"/>
                <w:sz w:val="22"/>
                <w:lang w:val="fr-BE"/>
              </w:rPr>
              <w:t>p</w:t>
            </w:r>
            <w:r w:rsidR="00191D20">
              <w:rPr>
                <w:rFonts w:ascii="Garamond" w:hAnsi="Garamond"/>
                <w:sz w:val="22"/>
                <w:lang w:val="fr-BE"/>
              </w:rPr>
              <w:t xml:space="preserve">euvent </w:t>
            </w:r>
            <w:r w:rsidR="00716F8A">
              <w:rPr>
                <w:rFonts w:ascii="Garamond" w:hAnsi="Garamond"/>
                <w:sz w:val="22"/>
                <w:lang w:val="fr-BE"/>
              </w:rPr>
              <w:t>notifier</w:t>
            </w:r>
            <w:r w:rsidR="00191D20">
              <w:rPr>
                <w:rFonts w:ascii="Garamond" w:hAnsi="Garamond"/>
                <w:sz w:val="22"/>
                <w:lang w:val="fr-BE"/>
              </w:rPr>
              <w:t xml:space="preserve"> </w:t>
            </w:r>
            <w:r w:rsidR="001B0E47" w:rsidRPr="00114D32">
              <w:rPr>
                <w:rFonts w:ascii="Garamond" w:hAnsi="Garamond"/>
                <w:sz w:val="22"/>
                <w:lang w:val="fr-BE"/>
              </w:rPr>
              <w:t>les effets indésirables suspectés</w:t>
            </w:r>
            <w:r w:rsidR="00CB570F">
              <w:rPr>
                <w:rFonts w:ascii="Garamond" w:hAnsi="Garamond"/>
                <w:sz w:val="22"/>
                <w:lang w:val="fr-BE"/>
              </w:rPr>
              <w:t>.</w:t>
            </w:r>
          </w:p>
        </w:tc>
        <w:tc>
          <w:tcPr>
            <w:tcW w:w="324" w:type="dxa"/>
            <w:tcBorders>
              <w:top w:val="nil"/>
              <w:left w:val="nil"/>
              <w:bottom w:val="nil"/>
              <w:right w:val="nil"/>
            </w:tcBorders>
          </w:tcPr>
          <w:p w14:paraId="3AD93978" w14:textId="77777777" w:rsidR="001B0E47" w:rsidRPr="00C35E6B" w:rsidRDefault="001B0E47" w:rsidP="001B0E47">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118D3AB3" w14:textId="19D830FA" w:rsidR="001B0E47" w:rsidRDefault="001B0E47" w:rsidP="00502F8E">
            <w:pPr>
              <w:autoSpaceDE w:val="0"/>
              <w:autoSpaceDN w:val="0"/>
              <w:adjustRightInd w:val="0"/>
              <w:jc w:val="both"/>
              <w:rPr>
                <w:rFonts w:ascii="Garamond" w:hAnsi="Garamond"/>
                <w:sz w:val="22"/>
                <w:lang w:val="nl-NL"/>
              </w:rPr>
            </w:pPr>
            <w:r w:rsidRPr="004422E2">
              <w:rPr>
                <w:rFonts w:ascii="Garamond" w:hAnsi="Garamond"/>
                <w:b/>
                <w:sz w:val="22"/>
                <w:lang w:val="nl-NL"/>
              </w:rPr>
              <w:t>Art. 3</w:t>
            </w:r>
            <w:r w:rsidRPr="004422E2">
              <w:rPr>
                <w:rFonts w:ascii="Garamond" w:hAnsi="Garamond"/>
                <w:sz w:val="22"/>
                <w:lang w:val="nl-NL"/>
              </w:rPr>
              <w:t xml:space="preserve">. </w:t>
            </w:r>
            <w:r w:rsidR="00502F8E" w:rsidRPr="00502F8E">
              <w:rPr>
                <w:rFonts w:ascii="Garamond" w:hAnsi="Garamond"/>
                <w:sz w:val="22"/>
                <w:lang w:val="nl-NL"/>
              </w:rPr>
              <w:t xml:space="preserve">§1. De </w:t>
            </w:r>
            <w:r w:rsidR="008466CF">
              <w:rPr>
                <w:rFonts w:ascii="Garamond" w:hAnsi="Garamond"/>
                <w:sz w:val="22"/>
                <w:lang w:val="nl-NL"/>
              </w:rPr>
              <w:t>D</w:t>
            </w:r>
            <w:r w:rsidR="00502F8E" w:rsidRPr="00502F8E">
              <w:rPr>
                <w:rFonts w:ascii="Garamond" w:hAnsi="Garamond"/>
                <w:sz w:val="22"/>
                <w:lang w:val="nl-NL"/>
              </w:rPr>
              <w:t>ienst implementeert een voedselbewakingssysteem, Nutrivigilan</w:t>
            </w:r>
            <w:r w:rsidR="00502F8E">
              <w:rPr>
                <w:rFonts w:ascii="Garamond" w:hAnsi="Garamond"/>
                <w:sz w:val="22"/>
                <w:lang w:val="nl-NL"/>
              </w:rPr>
              <w:t>ti</w:t>
            </w:r>
            <w:r w:rsidR="00502F8E" w:rsidRPr="00502F8E">
              <w:rPr>
                <w:rFonts w:ascii="Garamond" w:hAnsi="Garamond"/>
                <w:sz w:val="22"/>
                <w:lang w:val="nl-NL"/>
              </w:rPr>
              <w:t xml:space="preserve">e genaamd, dat wordt gebruikt om informatie te verzamelen over bijwerkingen van bepaalde </w:t>
            </w:r>
            <w:r w:rsidR="00CB05FF">
              <w:rPr>
                <w:rFonts w:ascii="Garamond" w:hAnsi="Garamond"/>
                <w:sz w:val="22"/>
                <w:lang w:val="nl-NL"/>
              </w:rPr>
              <w:t>voedingsmiddelen</w:t>
            </w:r>
            <w:r w:rsidR="00CB05FF" w:rsidRPr="00502F8E">
              <w:rPr>
                <w:rFonts w:ascii="Garamond" w:hAnsi="Garamond"/>
                <w:sz w:val="22"/>
                <w:lang w:val="nl-NL"/>
              </w:rPr>
              <w:t xml:space="preserve"> </w:t>
            </w:r>
            <w:r w:rsidR="00502F8E" w:rsidRPr="00502F8E">
              <w:rPr>
                <w:rFonts w:ascii="Garamond" w:hAnsi="Garamond"/>
                <w:sz w:val="22"/>
                <w:lang w:val="nl-NL"/>
              </w:rPr>
              <w:t>bij mensen.</w:t>
            </w:r>
          </w:p>
          <w:p w14:paraId="2A7E62BB" w14:textId="77777777" w:rsidR="00502F8E" w:rsidRDefault="00502F8E" w:rsidP="00502F8E">
            <w:pPr>
              <w:autoSpaceDE w:val="0"/>
              <w:autoSpaceDN w:val="0"/>
              <w:adjustRightInd w:val="0"/>
              <w:jc w:val="both"/>
              <w:rPr>
                <w:rFonts w:ascii="Garamond" w:hAnsi="Garamond"/>
                <w:sz w:val="22"/>
                <w:lang w:val="nl-NL"/>
              </w:rPr>
            </w:pPr>
          </w:p>
          <w:p w14:paraId="5F81FC5C" w14:textId="77777777" w:rsidR="00502F8E" w:rsidRPr="00502F8E" w:rsidRDefault="00502F8E" w:rsidP="00502F8E">
            <w:pPr>
              <w:autoSpaceDE w:val="0"/>
              <w:autoSpaceDN w:val="0"/>
              <w:adjustRightInd w:val="0"/>
              <w:jc w:val="both"/>
              <w:rPr>
                <w:rFonts w:ascii="Garamond" w:hAnsi="Garamond"/>
                <w:sz w:val="22"/>
                <w:lang w:val="nl-NL"/>
              </w:rPr>
            </w:pPr>
            <w:r w:rsidRPr="00502F8E">
              <w:rPr>
                <w:rFonts w:ascii="Garamond" w:hAnsi="Garamond"/>
                <w:sz w:val="22"/>
                <w:lang w:val="nl-NL"/>
              </w:rPr>
              <w:t>§2 Nutrivigilantie wordt uitgevoerd op:</w:t>
            </w:r>
          </w:p>
          <w:p w14:paraId="18BB443E" w14:textId="3A8391D6" w:rsidR="00502F8E" w:rsidRPr="00502F8E" w:rsidRDefault="00502F8E" w:rsidP="00502F8E">
            <w:pPr>
              <w:autoSpaceDE w:val="0"/>
              <w:autoSpaceDN w:val="0"/>
              <w:adjustRightInd w:val="0"/>
              <w:jc w:val="both"/>
              <w:rPr>
                <w:rFonts w:ascii="Garamond" w:hAnsi="Garamond"/>
                <w:sz w:val="22"/>
                <w:lang w:val="nl-NL"/>
              </w:rPr>
            </w:pPr>
            <w:r w:rsidRPr="00502F8E">
              <w:rPr>
                <w:rFonts w:ascii="Garamond" w:hAnsi="Garamond"/>
                <w:sz w:val="22"/>
                <w:lang w:val="nl-NL"/>
              </w:rPr>
              <w:t xml:space="preserve">1° </w:t>
            </w:r>
            <w:r w:rsidR="00C9542E">
              <w:rPr>
                <w:rFonts w:ascii="Garamond" w:hAnsi="Garamond"/>
                <w:sz w:val="22"/>
                <w:lang w:val="nl-NL"/>
              </w:rPr>
              <w:t>n</w:t>
            </w:r>
            <w:r w:rsidRPr="00502F8E">
              <w:rPr>
                <w:rFonts w:ascii="Garamond" w:hAnsi="Garamond"/>
                <w:sz w:val="22"/>
                <w:lang w:val="nl-NL"/>
              </w:rPr>
              <w:t xml:space="preserve">ieuwe voedingsmiddelen </w:t>
            </w:r>
            <w:r w:rsidR="004E5F07">
              <w:rPr>
                <w:rFonts w:ascii="Garamond" w:hAnsi="Garamond"/>
                <w:sz w:val="22"/>
                <w:lang w:val="nl-NL"/>
              </w:rPr>
              <w:t xml:space="preserve">toegelaten in het kader </w:t>
            </w:r>
            <w:r w:rsidRPr="00502F8E">
              <w:rPr>
                <w:rFonts w:ascii="Garamond" w:hAnsi="Garamond"/>
                <w:sz w:val="22"/>
                <w:lang w:val="nl-NL"/>
              </w:rPr>
              <w:t xml:space="preserve">van artikel 2 van </w:t>
            </w:r>
            <w:r w:rsidR="008466CF">
              <w:rPr>
                <w:rFonts w:ascii="Garamond" w:hAnsi="Garamond"/>
                <w:sz w:val="22"/>
                <w:lang w:val="nl-NL"/>
              </w:rPr>
              <w:t>v</w:t>
            </w:r>
            <w:r w:rsidRPr="00502F8E">
              <w:rPr>
                <w:rFonts w:ascii="Garamond" w:hAnsi="Garamond"/>
                <w:sz w:val="22"/>
                <w:lang w:val="nl-NL"/>
              </w:rPr>
              <w:t>erordening (EU) nr. 2015/2283 van het Europees Parlement en de Raad van 25 november 2015 betreffende nieuwe voedingsmiddelen</w:t>
            </w:r>
            <w:r w:rsidR="00753A36">
              <w:rPr>
                <w:rFonts w:ascii="Garamond" w:hAnsi="Garamond"/>
                <w:sz w:val="22"/>
                <w:lang w:val="nl-NL"/>
              </w:rPr>
              <w:t xml:space="preserve">, </w:t>
            </w:r>
            <w:r w:rsidR="00753A36" w:rsidRPr="00753A36">
              <w:rPr>
                <w:rFonts w:ascii="Garamond" w:hAnsi="Garamond"/>
                <w:sz w:val="22"/>
                <w:lang w:val="nl-NL"/>
              </w:rPr>
              <w:t xml:space="preserve">tot wijziging van Verordening (EU) nr. 1169/2011 van het Europees Parlement en de Raad en tot intrekking van Verordening (EG) nr. 258/97 van het Europees Parlement en de Raad </w:t>
            </w:r>
            <w:r w:rsidR="00753A36" w:rsidRPr="00753A36">
              <w:rPr>
                <w:rFonts w:ascii="Garamond" w:hAnsi="Garamond"/>
                <w:sz w:val="22"/>
                <w:lang w:val="nl-NL"/>
              </w:rPr>
              <w:lastRenderedPageBreak/>
              <w:t>en Verordening (EG) nr. 1852/2001 van de Commissie</w:t>
            </w:r>
            <w:r w:rsidRPr="00502F8E">
              <w:rPr>
                <w:rFonts w:ascii="Garamond" w:hAnsi="Garamond"/>
                <w:sz w:val="22"/>
                <w:lang w:val="nl-NL"/>
              </w:rPr>
              <w:t>;</w:t>
            </w:r>
          </w:p>
          <w:p w14:paraId="6335CACC" w14:textId="10DD2A64" w:rsidR="00502F8E" w:rsidRPr="00502F8E" w:rsidRDefault="00502F8E" w:rsidP="00502F8E">
            <w:pPr>
              <w:autoSpaceDE w:val="0"/>
              <w:autoSpaceDN w:val="0"/>
              <w:adjustRightInd w:val="0"/>
              <w:jc w:val="both"/>
              <w:rPr>
                <w:rFonts w:ascii="Garamond" w:hAnsi="Garamond"/>
                <w:sz w:val="22"/>
                <w:lang w:val="nl-NL"/>
              </w:rPr>
            </w:pPr>
            <w:r w:rsidRPr="00502F8E">
              <w:rPr>
                <w:rFonts w:ascii="Garamond" w:hAnsi="Garamond"/>
                <w:sz w:val="22"/>
                <w:lang w:val="nl-NL"/>
              </w:rPr>
              <w:t xml:space="preserve">2° </w:t>
            </w:r>
            <w:r w:rsidR="00C9542E">
              <w:rPr>
                <w:rFonts w:ascii="Garamond" w:hAnsi="Garamond"/>
                <w:sz w:val="22"/>
                <w:lang w:val="nl-NL"/>
              </w:rPr>
              <w:t>v</w:t>
            </w:r>
            <w:r w:rsidRPr="00502F8E">
              <w:rPr>
                <w:rFonts w:ascii="Garamond" w:hAnsi="Garamond"/>
                <w:sz w:val="22"/>
                <w:lang w:val="nl-NL"/>
              </w:rPr>
              <w:t xml:space="preserve">oedingssupplementen </w:t>
            </w:r>
            <w:r>
              <w:rPr>
                <w:rFonts w:ascii="Garamond" w:hAnsi="Garamond"/>
                <w:sz w:val="22"/>
                <w:lang w:val="nl-NL"/>
              </w:rPr>
              <w:t>die vallen onder</w:t>
            </w:r>
            <w:r w:rsidR="00EE2F7F">
              <w:rPr>
                <w:rFonts w:ascii="Garamond" w:hAnsi="Garamond"/>
                <w:sz w:val="22"/>
                <w:lang w:val="nl-NL"/>
              </w:rPr>
              <w:t xml:space="preserve"> </w:t>
            </w:r>
            <w:r w:rsidR="00EE2F7F">
              <w:rPr>
                <w:rFonts w:ascii="Garamond" w:hAnsi="Garamond"/>
                <w:sz w:val="22"/>
                <w:szCs w:val="22"/>
                <w:lang w:val="nl-NL"/>
              </w:rPr>
              <w:t>de</w:t>
            </w:r>
            <w:r w:rsidR="00EE2F7F" w:rsidRPr="00F50C24">
              <w:rPr>
                <w:rFonts w:ascii="Garamond" w:hAnsi="Garamond"/>
                <w:sz w:val="22"/>
                <w:szCs w:val="22"/>
                <w:lang w:val="nl-NL"/>
              </w:rPr>
              <w:t xml:space="preserve"> </w:t>
            </w:r>
            <w:r w:rsidR="00EE2F7F">
              <w:rPr>
                <w:rFonts w:ascii="Garamond" w:hAnsi="Garamond"/>
                <w:sz w:val="22"/>
                <w:szCs w:val="22"/>
                <w:lang w:val="nl-NL"/>
              </w:rPr>
              <w:t>k</w:t>
            </w:r>
            <w:r w:rsidR="00EE2F7F" w:rsidRPr="00F50C24">
              <w:rPr>
                <w:rFonts w:ascii="Garamond" w:hAnsi="Garamond"/>
                <w:sz w:val="22"/>
                <w:szCs w:val="22"/>
                <w:lang w:val="nl-NL"/>
              </w:rPr>
              <w:t>oninklijk</w:t>
            </w:r>
            <w:r w:rsidR="00EE2F7F">
              <w:rPr>
                <w:rFonts w:ascii="Garamond" w:hAnsi="Garamond"/>
                <w:sz w:val="22"/>
                <w:szCs w:val="22"/>
                <w:lang w:val="nl-NL"/>
              </w:rPr>
              <w:t>e</w:t>
            </w:r>
            <w:r w:rsidR="00EE2F7F" w:rsidRPr="00F50C24">
              <w:rPr>
                <w:rFonts w:ascii="Garamond" w:hAnsi="Garamond"/>
                <w:sz w:val="22"/>
                <w:szCs w:val="22"/>
                <w:lang w:val="nl-NL"/>
              </w:rPr>
              <w:t xml:space="preserve"> besluit</w:t>
            </w:r>
            <w:r w:rsidR="00EE2F7F">
              <w:rPr>
                <w:rFonts w:ascii="Garamond" w:hAnsi="Garamond"/>
                <w:sz w:val="22"/>
                <w:szCs w:val="22"/>
                <w:lang w:val="nl-NL"/>
              </w:rPr>
              <w:t>en</w:t>
            </w:r>
            <w:r w:rsidR="00EE2F7F" w:rsidRPr="00F50C24">
              <w:rPr>
                <w:rFonts w:ascii="Garamond" w:hAnsi="Garamond"/>
                <w:sz w:val="22"/>
                <w:szCs w:val="22"/>
                <w:lang w:val="nl-NL"/>
              </w:rPr>
              <w:t xml:space="preserve"> van </w:t>
            </w:r>
            <w:r w:rsidR="00EE2F7F">
              <w:rPr>
                <w:rFonts w:ascii="Garamond" w:hAnsi="Garamond"/>
                <w:sz w:val="22"/>
                <w:szCs w:val="22"/>
                <w:lang w:val="nl-NL"/>
              </w:rPr>
              <w:t>30</w:t>
            </w:r>
            <w:r w:rsidR="00EE2F7F" w:rsidRPr="00F50C24">
              <w:rPr>
                <w:rFonts w:ascii="Garamond" w:hAnsi="Garamond"/>
                <w:sz w:val="22"/>
                <w:szCs w:val="22"/>
                <w:lang w:val="nl-NL"/>
              </w:rPr>
              <w:t xml:space="preserve"> </w:t>
            </w:r>
            <w:r w:rsidR="00EE2F7F">
              <w:rPr>
                <w:rFonts w:ascii="Garamond" w:hAnsi="Garamond"/>
                <w:sz w:val="22"/>
                <w:szCs w:val="22"/>
                <w:lang w:val="nl-NL"/>
              </w:rPr>
              <w:t>mei</w:t>
            </w:r>
            <w:r w:rsidR="00EE2F7F" w:rsidRPr="00F50C24">
              <w:rPr>
                <w:rFonts w:ascii="Garamond" w:hAnsi="Garamond"/>
                <w:sz w:val="22"/>
                <w:szCs w:val="22"/>
                <w:lang w:val="nl-NL"/>
              </w:rPr>
              <w:t xml:space="preserve"> 2021 betreffende </w:t>
            </w:r>
            <w:r w:rsidR="00EE2F7F">
              <w:rPr>
                <w:rFonts w:ascii="Garamond" w:hAnsi="Garamond"/>
                <w:sz w:val="22"/>
                <w:szCs w:val="22"/>
                <w:lang w:val="nl-NL"/>
              </w:rPr>
              <w:t xml:space="preserve">het in </w:t>
            </w:r>
            <w:r w:rsidR="00EE2F7F" w:rsidRPr="00F50C24">
              <w:rPr>
                <w:rFonts w:ascii="Garamond" w:hAnsi="Garamond"/>
                <w:sz w:val="22"/>
                <w:szCs w:val="22"/>
                <w:lang w:val="nl-NL"/>
              </w:rPr>
              <w:t xml:space="preserve">de handel </w:t>
            </w:r>
            <w:r w:rsidR="00EE2F7F">
              <w:rPr>
                <w:rFonts w:ascii="Garamond" w:hAnsi="Garamond"/>
                <w:sz w:val="22"/>
                <w:szCs w:val="22"/>
                <w:lang w:val="nl-NL"/>
              </w:rPr>
              <w:t xml:space="preserve">brengen van </w:t>
            </w:r>
            <w:r w:rsidR="00EE2F7F" w:rsidRPr="00F50C24">
              <w:rPr>
                <w:rFonts w:ascii="Garamond" w:hAnsi="Garamond"/>
                <w:sz w:val="22"/>
                <w:szCs w:val="22"/>
                <w:lang w:val="nl-NL"/>
              </w:rPr>
              <w:t xml:space="preserve"> nutriënten</w:t>
            </w:r>
            <w:r w:rsidR="00EE2F7F">
              <w:rPr>
                <w:rFonts w:ascii="Garamond" w:hAnsi="Garamond"/>
                <w:sz w:val="22"/>
                <w:szCs w:val="22"/>
                <w:lang w:val="nl-NL"/>
              </w:rPr>
              <w:t xml:space="preserve"> en van</w:t>
            </w:r>
            <w:r w:rsidR="00EE2F7F" w:rsidRPr="00F50C24">
              <w:rPr>
                <w:rFonts w:ascii="Garamond" w:hAnsi="Garamond"/>
                <w:sz w:val="22"/>
                <w:szCs w:val="22"/>
                <w:lang w:val="nl-NL"/>
              </w:rPr>
              <w:t xml:space="preserve"> voedings</w:t>
            </w:r>
            <w:r w:rsidR="00EE2F7F">
              <w:rPr>
                <w:rFonts w:ascii="Garamond" w:hAnsi="Garamond"/>
                <w:sz w:val="22"/>
                <w:szCs w:val="22"/>
                <w:lang w:val="nl-NL"/>
              </w:rPr>
              <w:t xml:space="preserve">middelen waaraan nutriënten werden toegevoegd, </w:t>
            </w:r>
            <w:r w:rsidR="00EE2F7F" w:rsidRPr="00F50C24">
              <w:rPr>
                <w:rFonts w:ascii="Garamond" w:hAnsi="Garamond"/>
                <w:sz w:val="22"/>
                <w:szCs w:val="22"/>
                <w:lang w:val="nl-NL"/>
              </w:rPr>
              <w:t>van 29 augustus 2021 betreffende de fabricage van en de handel in voedingssupplementen die andere stoffen bevatten dan nutriënten en planten of plantenbereidingen</w:t>
            </w:r>
            <w:r w:rsidR="00EE2F7F">
              <w:rPr>
                <w:rFonts w:ascii="Garamond" w:hAnsi="Garamond"/>
                <w:sz w:val="22"/>
                <w:szCs w:val="22"/>
                <w:lang w:val="nl-NL"/>
              </w:rPr>
              <w:t xml:space="preserve"> en </w:t>
            </w:r>
            <w:r w:rsidR="00EE2F7F" w:rsidRPr="00F50C24">
              <w:rPr>
                <w:rFonts w:ascii="Garamond" w:hAnsi="Garamond"/>
                <w:sz w:val="22"/>
                <w:szCs w:val="22"/>
                <w:lang w:val="nl-NL"/>
              </w:rPr>
              <w:t xml:space="preserve">van </w:t>
            </w:r>
            <w:r w:rsidR="00EE2F7F">
              <w:rPr>
                <w:rFonts w:ascii="Garamond" w:hAnsi="Garamond"/>
                <w:sz w:val="22"/>
                <w:szCs w:val="22"/>
                <w:lang w:val="nl-NL"/>
              </w:rPr>
              <w:t>31</w:t>
            </w:r>
            <w:r w:rsidR="00EE2F7F" w:rsidRPr="00F50C24">
              <w:rPr>
                <w:rFonts w:ascii="Garamond" w:hAnsi="Garamond"/>
                <w:sz w:val="22"/>
                <w:szCs w:val="22"/>
                <w:lang w:val="nl-NL"/>
              </w:rPr>
              <w:t xml:space="preserve"> augustus 2021 betreffende de fabricage van en de handel in voedings</w:t>
            </w:r>
            <w:r w:rsidR="00EE2F7F">
              <w:rPr>
                <w:rFonts w:ascii="Garamond" w:hAnsi="Garamond"/>
                <w:sz w:val="22"/>
                <w:szCs w:val="22"/>
                <w:lang w:val="nl-NL"/>
              </w:rPr>
              <w:t xml:space="preserve">middelen die uit planten of uit </w:t>
            </w:r>
            <w:r w:rsidR="00EE2F7F" w:rsidRPr="00F50C24">
              <w:rPr>
                <w:rFonts w:ascii="Garamond" w:hAnsi="Garamond"/>
                <w:sz w:val="22"/>
                <w:szCs w:val="22"/>
                <w:lang w:val="nl-NL"/>
              </w:rPr>
              <w:t xml:space="preserve"> plantenbereidingen</w:t>
            </w:r>
            <w:r w:rsidR="00EE2F7F">
              <w:rPr>
                <w:rFonts w:ascii="Garamond" w:hAnsi="Garamond"/>
                <w:sz w:val="22"/>
                <w:szCs w:val="22"/>
                <w:lang w:val="nl-NL"/>
              </w:rPr>
              <w:t xml:space="preserve"> samengesteld zijn of deze bevatten;</w:t>
            </w:r>
          </w:p>
          <w:p w14:paraId="4962BDF5" w14:textId="736AF46A" w:rsidR="00502F8E" w:rsidRDefault="00502F8E" w:rsidP="00502F8E">
            <w:pPr>
              <w:autoSpaceDE w:val="0"/>
              <w:autoSpaceDN w:val="0"/>
              <w:adjustRightInd w:val="0"/>
              <w:jc w:val="both"/>
              <w:rPr>
                <w:rFonts w:ascii="Garamond" w:hAnsi="Garamond"/>
                <w:sz w:val="22"/>
                <w:lang w:val="nl-NL"/>
              </w:rPr>
            </w:pPr>
            <w:r w:rsidRPr="00502F8E">
              <w:rPr>
                <w:rFonts w:ascii="Garamond" w:hAnsi="Garamond"/>
                <w:sz w:val="22"/>
                <w:lang w:val="nl-NL"/>
              </w:rPr>
              <w:t xml:space="preserve">3° </w:t>
            </w:r>
            <w:r w:rsidR="00CB05FF">
              <w:rPr>
                <w:rFonts w:ascii="Garamond" w:hAnsi="Garamond"/>
                <w:sz w:val="22"/>
                <w:lang w:val="nl-NL"/>
              </w:rPr>
              <w:t>voedingsmiddelen</w:t>
            </w:r>
            <w:r w:rsidRPr="00502F8E">
              <w:rPr>
                <w:rFonts w:ascii="Garamond" w:hAnsi="Garamond"/>
                <w:sz w:val="22"/>
                <w:lang w:val="nl-NL"/>
              </w:rPr>
              <w:t xml:space="preserve"> die vallen onder </w:t>
            </w:r>
            <w:r w:rsidR="008466CF">
              <w:rPr>
                <w:rFonts w:ascii="Garamond" w:hAnsi="Garamond"/>
                <w:sz w:val="22"/>
                <w:lang w:val="nl-NL"/>
              </w:rPr>
              <w:t>v</w:t>
            </w:r>
            <w:r w:rsidRPr="00502F8E">
              <w:rPr>
                <w:rFonts w:ascii="Garamond" w:hAnsi="Garamond"/>
                <w:sz w:val="22"/>
                <w:lang w:val="nl-NL"/>
              </w:rPr>
              <w:t xml:space="preserve">erordening (EU) nr. 609/2013 van het Europees Parlement en de Raad van 12 juni 2013 inzake voor zuigelingen en peuters bedoelde levensmiddelen, voeding voor medisch gebruik en </w:t>
            </w:r>
            <w:r>
              <w:rPr>
                <w:rFonts w:ascii="Garamond" w:hAnsi="Garamond"/>
                <w:sz w:val="22"/>
                <w:lang w:val="nl-NL"/>
              </w:rPr>
              <w:t>d</w:t>
            </w:r>
            <w:r w:rsidRPr="00502F8E">
              <w:rPr>
                <w:rFonts w:ascii="Garamond" w:hAnsi="Garamond"/>
                <w:sz w:val="22"/>
                <w:lang w:val="nl-NL"/>
              </w:rPr>
              <w:t>e dagelijkse voeding volledig vervangende producten voor gewichtsbeheersing</w:t>
            </w:r>
            <w:r w:rsidR="004E5F07">
              <w:rPr>
                <w:rFonts w:ascii="Garamond" w:hAnsi="Garamond"/>
                <w:sz w:val="22"/>
                <w:lang w:val="nl-NL"/>
              </w:rPr>
              <w:t>;</w:t>
            </w:r>
          </w:p>
          <w:p w14:paraId="692F7D6B" w14:textId="5DEB55E6" w:rsidR="009E396F" w:rsidRDefault="009E396F" w:rsidP="00502F8E">
            <w:pPr>
              <w:autoSpaceDE w:val="0"/>
              <w:autoSpaceDN w:val="0"/>
              <w:adjustRightInd w:val="0"/>
              <w:jc w:val="both"/>
              <w:rPr>
                <w:rFonts w:ascii="Garamond" w:hAnsi="Garamond"/>
                <w:sz w:val="22"/>
                <w:lang w:val="nl-NL"/>
              </w:rPr>
            </w:pPr>
          </w:p>
          <w:p w14:paraId="2E7881BC" w14:textId="77777777" w:rsidR="009E396F" w:rsidRDefault="009E396F" w:rsidP="00502F8E">
            <w:pPr>
              <w:autoSpaceDE w:val="0"/>
              <w:autoSpaceDN w:val="0"/>
              <w:adjustRightInd w:val="0"/>
              <w:jc w:val="both"/>
              <w:rPr>
                <w:rFonts w:ascii="Garamond" w:hAnsi="Garamond"/>
                <w:sz w:val="22"/>
                <w:lang w:val="nl-NL"/>
              </w:rPr>
            </w:pPr>
          </w:p>
          <w:p w14:paraId="2F3D9B90" w14:textId="1D0927B8" w:rsidR="004E5F07" w:rsidRPr="004E5F07" w:rsidRDefault="004E5F07" w:rsidP="004E5F07">
            <w:pPr>
              <w:autoSpaceDE w:val="0"/>
              <w:autoSpaceDN w:val="0"/>
              <w:adjustRightInd w:val="0"/>
              <w:jc w:val="both"/>
              <w:rPr>
                <w:rFonts w:ascii="Garamond" w:hAnsi="Garamond"/>
                <w:sz w:val="22"/>
                <w:lang w:val="nl-BE"/>
              </w:rPr>
            </w:pPr>
            <w:r>
              <w:rPr>
                <w:rFonts w:ascii="Garamond" w:hAnsi="Garamond"/>
                <w:sz w:val="22"/>
                <w:lang w:val="nl-NL"/>
              </w:rPr>
              <w:t xml:space="preserve">4° </w:t>
            </w:r>
            <w:r>
              <w:rPr>
                <w:rFonts w:ascii="Garamond" w:hAnsi="Garamond"/>
                <w:sz w:val="22"/>
                <w:lang w:val="nl-NL"/>
              </w:rPr>
              <w:t>voedingsmiddelen</w:t>
            </w:r>
            <w:r w:rsidRPr="00502F8E">
              <w:rPr>
                <w:rFonts w:ascii="Garamond" w:hAnsi="Garamond"/>
                <w:sz w:val="22"/>
                <w:lang w:val="nl-NL"/>
              </w:rPr>
              <w:t xml:space="preserve"> die vallen onder </w:t>
            </w:r>
            <w:r>
              <w:rPr>
                <w:rFonts w:ascii="Garamond" w:hAnsi="Garamond"/>
                <w:sz w:val="22"/>
                <w:lang w:val="nl-NL"/>
              </w:rPr>
              <w:t>v</w:t>
            </w:r>
            <w:r w:rsidRPr="00502F8E">
              <w:rPr>
                <w:rFonts w:ascii="Garamond" w:hAnsi="Garamond"/>
                <w:sz w:val="22"/>
                <w:lang w:val="nl-NL"/>
              </w:rPr>
              <w:t>erordening (E</w:t>
            </w:r>
            <w:r>
              <w:rPr>
                <w:rFonts w:ascii="Garamond" w:hAnsi="Garamond"/>
                <w:sz w:val="22"/>
                <w:lang w:val="nl-NL"/>
              </w:rPr>
              <w:t>G</w:t>
            </w:r>
            <w:r w:rsidRPr="00502F8E">
              <w:rPr>
                <w:rFonts w:ascii="Garamond" w:hAnsi="Garamond"/>
                <w:sz w:val="22"/>
                <w:lang w:val="nl-NL"/>
              </w:rPr>
              <w:t xml:space="preserve">) nr. </w:t>
            </w:r>
            <w:r>
              <w:rPr>
                <w:rFonts w:ascii="Garamond" w:hAnsi="Garamond"/>
                <w:sz w:val="22"/>
                <w:lang w:val="nl-NL"/>
              </w:rPr>
              <w:t>1925/2006</w:t>
            </w:r>
            <w:r w:rsidRPr="00502F8E">
              <w:rPr>
                <w:rFonts w:ascii="Garamond" w:hAnsi="Garamond"/>
                <w:sz w:val="22"/>
                <w:lang w:val="nl-NL"/>
              </w:rPr>
              <w:t xml:space="preserve"> van het Europees Parlement en de Raad</w:t>
            </w:r>
            <w:r>
              <w:rPr>
                <w:rFonts w:ascii="Garamond" w:hAnsi="Garamond"/>
                <w:sz w:val="22"/>
                <w:lang w:val="nl-NL"/>
              </w:rPr>
              <w:t xml:space="preserve"> </w:t>
            </w:r>
            <w:r w:rsidRPr="004E5F07">
              <w:rPr>
                <w:rFonts w:ascii="Garamond" w:hAnsi="Garamond"/>
                <w:sz w:val="22"/>
                <w:lang w:val="nl-NL"/>
              </w:rPr>
              <w:t>van 20 december 2006</w:t>
            </w:r>
            <w:r>
              <w:rPr>
                <w:rFonts w:ascii="Garamond" w:hAnsi="Garamond"/>
                <w:sz w:val="22"/>
                <w:lang w:val="nl-NL"/>
              </w:rPr>
              <w:t xml:space="preserve"> </w:t>
            </w:r>
            <w:r w:rsidRPr="004E5F07">
              <w:rPr>
                <w:rFonts w:ascii="Garamond" w:hAnsi="Garamond"/>
                <w:sz w:val="22"/>
                <w:lang w:val="nl-NL"/>
              </w:rPr>
              <w:t>betreffende de toevoeging van vitaminen en mineralen en bepaalde andere stoffen aan levensmiddelen</w:t>
            </w:r>
            <w:r>
              <w:rPr>
                <w:rFonts w:ascii="Garamond" w:hAnsi="Garamond"/>
                <w:sz w:val="22"/>
                <w:lang w:val="nl-NL"/>
              </w:rPr>
              <w:t>.</w:t>
            </w:r>
          </w:p>
          <w:p w14:paraId="5D78B255" w14:textId="77777777" w:rsidR="00CB570F" w:rsidRDefault="00CB570F" w:rsidP="00502F8E">
            <w:pPr>
              <w:autoSpaceDE w:val="0"/>
              <w:autoSpaceDN w:val="0"/>
              <w:adjustRightInd w:val="0"/>
              <w:jc w:val="both"/>
              <w:rPr>
                <w:rFonts w:ascii="Garamond" w:hAnsi="Garamond"/>
                <w:sz w:val="22"/>
                <w:lang w:val="nl-NL"/>
              </w:rPr>
            </w:pPr>
          </w:p>
          <w:p w14:paraId="20DB4B64" w14:textId="77777777" w:rsidR="00753A36" w:rsidRDefault="00753A36" w:rsidP="00CB570F">
            <w:pPr>
              <w:autoSpaceDE w:val="0"/>
              <w:autoSpaceDN w:val="0"/>
              <w:adjustRightInd w:val="0"/>
              <w:jc w:val="both"/>
              <w:rPr>
                <w:rFonts w:ascii="Garamond" w:hAnsi="Garamond"/>
                <w:sz w:val="22"/>
                <w:lang w:val="nl-NL"/>
              </w:rPr>
            </w:pPr>
          </w:p>
          <w:p w14:paraId="4946725E" w14:textId="13BEFC21" w:rsidR="00CB570F" w:rsidRP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w:t>
            </w:r>
            <w:r>
              <w:rPr>
                <w:rFonts w:ascii="Garamond" w:hAnsi="Garamond"/>
                <w:sz w:val="22"/>
                <w:lang w:val="nl-NL"/>
              </w:rPr>
              <w:t xml:space="preserve">3. </w:t>
            </w:r>
            <w:r w:rsidRPr="00CB570F">
              <w:rPr>
                <w:rFonts w:ascii="Garamond" w:hAnsi="Garamond"/>
                <w:sz w:val="22"/>
                <w:lang w:val="nl-NL"/>
              </w:rPr>
              <w:t>Het nutrivigilantiesysteem wordt gebruikt</w:t>
            </w:r>
            <w:r w:rsidR="00CD3A21">
              <w:rPr>
                <w:rFonts w:ascii="Garamond" w:hAnsi="Garamond"/>
                <w:sz w:val="22"/>
                <w:lang w:val="nl-NL"/>
              </w:rPr>
              <w:t>:</w:t>
            </w:r>
          </w:p>
          <w:p w14:paraId="2E9E4E73" w14:textId="0D417079" w:rsidR="00CB570F" w:rsidRP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 xml:space="preserve">1° </w:t>
            </w:r>
            <w:r w:rsidR="00CD3A21">
              <w:rPr>
                <w:rFonts w:ascii="Garamond" w:hAnsi="Garamond"/>
                <w:sz w:val="22"/>
                <w:lang w:val="nl-NL"/>
              </w:rPr>
              <w:t xml:space="preserve">voor </w:t>
            </w:r>
            <w:r w:rsidRPr="00CB570F">
              <w:rPr>
                <w:rFonts w:ascii="Garamond" w:hAnsi="Garamond"/>
                <w:sz w:val="22"/>
                <w:lang w:val="nl-NL"/>
              </w:rPr>
              <w:t xml:space="preserve">het uitvoeren van de wetenschappelijke evaluatie van alle informatie, </w:t>
            </w:r>
          </w:p>
          <w:p w14:paraId="0A346480" w14:textId="34542E92" w:rsidR="00CB570F" w:rsidRP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 xml:space="preserve">2° </w:t>
            </w:r>
            <w:r w:rsidR="00CD3A21">
              <w:rPr>
                <w:rFonts w:ascii="Garamond" w:hAnsi="Garamond"/>
                <w:sz w:val="22"/>
                <w:lang w:val="nl-NL"/>
              </w:rPr>
              <w:t xml:space="preserve">om </w:t>
            </w:r>
            <w:r w:rsidRPr="00CB570F">
              <w:rPr>
                <w:rFonts w:ascii="Garamond" w:hAnsi="Garamond"/>
                <w:sz w:val="22"/>
                <w:lang w:val="nl-NL"/>
              </w:rPr>
              <w:t>de mogelijkheden</w:t>
            </w:r>
            <w:r w:rsidR="00CD3A21">
              <w:rPr>
                <w:rFonts w:ascii="Garamond" w:hAnsi="Garamond"/>
                <w:sz w:val="22"/>
                <w:lang w:val="nl-NL"/>
              </w:rPr>
              <w:t xml:space="preserve"> te</w:t>
            </w:r>
            <w:r w:rsidRPr="00CB570F">
              <w:rPr>
                <w:rFonts w:ascii="Garamond" w:hAnsi="Garamond"/>
                <w:sz w:val="22"/>
                <w:lang w:val="nl-NL"/>
              </w:rPr>
              <w:t xml:space="preserve"> onderzoeken om risico's te voorkomen of te verminderen </w:t>
            </w:r>
          </w:p>
          <w:p w14:paraId="775B25C0" w14:textId="1DBD1A0C" w:rsid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3° en</w:t>
            </w:r>
            <w:r w:rsidR="00CD3A21">
              <w:rPr>
                <w:rFonts w:ascii="Garamond" w:hAnsi="Garamond"/>
                <w:sz w:val="22"/>
                <w:lang w:val="nl-NL"/>
              </w:rPr>
              <w:t xml:space="preserve"> om</w:t>
            </w:r>
            <w:r w:rsidRPr="00CB570F">
              <w:rPr>
                <w:rFonts w:ascii="Garamond" w:hAnsi="Garamond"/>
                <w:sz w:val="22"/>
                <w:lang w:val="nl-NL"/>
              </w:rPr>
              <w:t>, indien nodig, regelgevende maatregelen te nemen met betrekking tot</w:t>
            </w:r>
            <w:r w:rsidR="00CD3A21">
              <w:rPr>
                <w:rFonts w:ascii="Garamond" w:hAnsi="Garamond"/>
                <w:sz w:val="22"/>
                <w:lang w:val="nl-NL"/>
              </w:rPr>
              <w:t xml:space="preserve"> de</w:t>
            </w:r>
            <w:r w:rsidRPr="00CB570F">
              <w:rPr>
                <w:rFonts w:ascii="Garamond" w:hAnsi="Garamond"/>
                <w:sz w:val="22"/>
                <w:lang w:val="nl-NL"/>
              </w:rPr>
              <w:t xml:space="preserve"> ingrediënten of producten.</w:t>
            </w:r>
          </w:p>
          <w:p w14:paraId="4721301C" w14:textId="77777777" w:rsidR="00CB570F" w:rsidRDefault="00CB570F" w:rsidP="00CB570F">
            <w:pPr>
              <w:autoSpaceDE w:val="0"/>
              <w:autoSpaceDN w:val="0"/>
              <w:adjustRightInd w:val="0"/>
              <w:jc w:val="both"/>
              <w:rPr>
                <w:rFonts w:ascii="Garamond" w:hAnsi="Garamond"/>
                <w:sz w:val="22"/>
                <w:lang w:val="nl-NL"/>
              </w:rPr>
            </w:pPr>
          </w:p>
          <w:p w14:paraId="61053091" w14:textId="6A2BDDE7" w:rsidR="00CB570F" w:rsidRP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w:t>
            </w:r>
            <w:r w:rsidR="00AF280E">
              <w:rPr>
                <w:rFonts w:ascii="Garamond" w:hAnsi="Garamond"/>
                <w:sz w:val="22"/>
                <w:lang w:val="nl-NL"/>
              </w:rPr>
              <w:t>4</w:t>
            </w:r>
            <w:r w:rsidRPr="00CB570F">
              <w:rPr>
                <w:rFonts w:ascii="Garamond" w:hAnsi="Garamond"/>
                <w:sz w:val="22"/>
                <w:lang w:val="nl-NL"/>
              </w:rPr>
              <w:t xml:space="preserve">. De </w:t>
            </w:r>
            <w:r w:rsidR="008466CF">
              <w:rPr>
                <w:rFonts w:ascii="Garamond" w:hAnsi="Garamond"/>
                <w:sz w:val="22"/>
                <w:lang w:val="nl-NL"/>
              </w:rPr>
              <w:t>D</w:t>
            </w:r>
            <w:r w:rsidRPr="00CB570F">
              <w:rPr>
                <w:rFonts w:ascii="Garamond" w:hAnsi="Garamond"/>
                <w:sz w:val="22"/>
                <w:lang w:val="nl-NL"/>
              </w:rPr>
              <w:t xml:space="preserve">ienst neemt de nodige maatregelen om de toepassing van het </w:t>
            </w:r>
            <w:r w:rsidR="00191D20">
              <w:rPr>
                <w:rFonts w:ascii="Garamond" w:hAnsi="Garamond"/>
                <w:sz w:val="22"/>
                <w:lang w:val="nl-NL"/>
              </w:rPr>
              <w:t>v</w:t>
            </w:r>
            <w:r w:rsidR="00191D20">
              <w:rPr>
                <w:lang w:val="nl-BE"/>
              </w:rPr>
              <w:t>oedselbewakingssysteem</w:t>
            </w:r>
            <w:r w:rsidRPr="00CB570F">
              <w:rPr>
                <w:rFonts w:ascii="Garamond" w:hAnsi="Garamond"/>
                <w:sz w:val="22"/>
                <w:lang w:val="nl-NL"/>
              </w:rPr>
              <w:t>te waarborgen, met name die welke betrekking hebben op</w:t>
            </w:r>
            <w:r>
              <w:rPr>
                <w:rFonts w:ascii="Garamond" w:hAnsi="Garamond"/>
                <w:sz w:val="22"/>
                <w:lang w:val="nl-NL"/>
              </w:rPr>
              <w:t>:</w:t>
            </w:r>
          </w:p>
          <w:p w14:paraId="1F250305" w14:textId="2FECE686" w:rsidR="00CB570F" w:rsidRP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 xml:space="preserve">1° het opzetten van een nationaal webportaal over </w:t>
            </w:r>
            <w:r w:rsidR="00CB05FF">
              <w:rPr>
                <w:rFonts w:ascii="Garamond" w:hAnsi="Garamond"/>
                <w:sz w:val="22"/>
                <w:lang w:val="nl-NL"/>
              </w:rPr>
              <w:t>voedingsmiddelen</w:t>
            </w:r>
            <w:r w:rsidR="00CB05FF" w:rsidRPr="00CB570F">
              <w:rPr>
                <w:rFonts w:ascii="Garamond" w:hAnsi="Garamond"/>
                <w:sz w:val="22"/>
                <w:lang w:val="nl-NL"/>
              </w:rPr>
              <w:t xml:space="preserve"> </w:t>
            </w:r>
            <w:r w:rsidRPr="00CB570F">
              <w:rPr>
                <w:rFonts w:ascii="Garamond" w:hAnsi="Garamond"/>
                <w:sz w:val="22"/>
                <w:lang w:val="nl-NL"/>
              </w:rPr>
              <w:t>dat beschikbaar is op de website van de FOD Volksgezondheid, Veiligheid van de Voedselketen en Leefmilieu en andere rapporteringsmethoden;</w:t>
            </w:r>
          </w:p>
          <w:p w14:paraId="69F19036" w14:textId="2E5462F8" w:rsidR="00CB570F" w:rsidRP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 xml:space="preserve">2° de registratie en de </w:t>
            </w:r>
            <w:r w:rsidR="00331D47">
              <w:rPr>
                <w:rFonts w:ascii="Garamond" w:hAnsi="Garamond"/>
                <w:sz w:val="22"/>
                <w:lang w:val="nl-NL"/>
              </w:rPr>
              <w:t>opvolging</w:t>
            </w:r>
            <w:r w:rsidRPr="00CB570F">
              <w:rPr>
                <w:rFonts w:ascii="Garamond" w:hAnsi="Garamond"/>
                <w:sz w:val="22"/>
                <w:lang w:val="nl-NL"/>
              </w:rPr>
              <w:t xml:space="preserve"> van elke vermoedelijke bijwerking die zich op Belgisch grondgebied voordoet en waarvan zij door operatoren, beroepsbeoefenaars uit de </w:t>
            </w:r>
            <w:r w:rsidRPr="00CB570F">
              <w:rPr>
                <w:rFonts w:ascii="Garamond" w:hAnsi="Garamond"/>
                <w:sz w:val="22"/>
                <w:lang w:val="nl-NL"/>
              </w:rPr>
              <w:lastRenderedPageBreak/>
              <w:t>gezondheidssector of burgers in kennis wordt gesteld</w:t>
            </w:r>
            <w:r>
              <w:rPr>
                <w:rFonts w:ascii="Garamond" w:hAnsi="Garamond"/>
                <w:sz w:val="22"/>
                <w:lang w:val="nl-NL"/>
              </w:rPr>
              <w:t>;</w:t>
            </w:r>
          </w:p>
          <w:p w14:paraId="798AD5B1" w14:textId="76659816" w:rsid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 xml:space="preserve">3° de evaluatie en de </w:t>
            </w:r>
            <w:r w:rsidR="00331D47">
              <w:rPr>
                <w:rFonts w:ascii="Garamond" w:hAnsi="Garamond"/>
                <w:sz w:val="22"/>
                <w:lang w:val="nl-NL"/>
              </w:rPr>
              <w:t>opvolging</w:t>
            </w:r>
            <w:r w:rsidRPr="00CB570F">
              <w:rPr>
                <w:rFonts w:ascii="Garamond" w:hAnsi="Garamond"/>
                <w:sz w:val="22"/>
                <w:lang w:val="nl-NL"/>
              </w:rPr>
              <w:t xml:space="preserve"> van de gegevens die voortvloeien uit de activiteiten inzake nutrivigilantie, in het bijzonder van de Commissie v</w:t>
            </w:r>
            <w:r>
              <w:rPr>
                <w:rFonts w:ascii="Garamond" w:hAnsi="Garamond"/>
                <w:sz w:val="22"/>
                <w:lang w:val="nl-NL"/>
              </w:rPr>
              <w:t>an</w:t>
            </w:r>
            <w:r w:rsidRPr="00CB570F">
              <w:rPr>
                <w:rFonts w:ascii="Garamond" w:hAnsi="Garamond"/>
                <w:sz w:val="22"/>
                <w:lang w:val="nl-NL"/>
              </w:rPr>
              <w:t xml:space="preserve"> Nutrivigilantie opgericht bij het koninklijk besluit van XXX 2023;</w:t>
            </w:r>
          </w:p>
          <w:p w14:paraId="1D25B780" w14:textId="5449D34F" w:rsid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4° het volgen van wetenschappelijk onderzoek naar de schadelijke effecten van levensmiddelen.</w:t>
            </w:r>
          </w:p>
          <w:p w14:paraId="2F3C5930" w14:textId="77777777" w:rsidR="00191D20" w:rsidRPr="00CB570F" w:rsidRDefault="00191D20" w:rsidP="00CB570F">
            <w:pPr>
              <w:autoSpaceDE w:val="0"/>
              <w:autoSpaceDN w:val="0"/>
              <w:adjustRightInd w:val="0"/>
              <w:jc w:val="both"/>
              <w:rPr>
                <w:rFonts w:ascii="Garamond" w:hAnsi="Garamond"/>
                <w:sz w:val="22"/>
                <w:lang w:val="nl-NL"/>
              </w:rPr>
            </w:pPr>
          </w:p>
          <w:p w14:paraId="4AFD58DB" w14:textId="1B1C408D" w:rsidR="00CB570F" w:rsidRDefault="00AF280E" w:rsidP="00CB570F">
            <w:pPr>
              <w:autoSpaceDE w:val="0"/>
              <w:autoSpaceDN w:val="0"/>
              <w:adjustRightInd w:val="0"/>
              <w:jc w:val="both"/>
              <w:rPr>
                <w:rFonts w:ascii="Garamond" w:hAnsi="Garamond"/>
                <w:sz w:val="22"/>
                <w:lang w:val="nl-NL"/>
              </w:rPr>
            </w:pPr>
            <w:r>
              <w:rPr>
                <w:rFonts w:ascii="Garamond" w:hAnsi="Garamond"/>
                <w:sz w:val="22"/>
                <w:lang w:val="nl-NL"/>
              </w:rPr>
              <w:t>§5.</w:t>
            </w:r>
            <w:r w:rsidR="00CD3A21">
              <w:rPr>
                <w:rFonts w:ascii="Garamond" w:hAnsi="Garamond"/>
                <w:sz w:val="22"/>
                <w:lang w:val="nl-NL"/>
              </w:rPr>
              <w:t xml:space="preserve"> </w:t>
            </w:r>
            <w:r w:rsidR="00CD3A21" w:rsidRPr="00CD3A21">
              <w:rPr>
                <w:rFonts w:ascii="Garamond" w:hAnsi="Garamond"/>
                <w:sz w:val="22"/>
                <w:lang w:val="nl-NL"/>
              </w:rPr>
              <w:t xml:space="preserve">De Dienst verbindt zich ertoe om </w:t>
            </w:r>
            <w:r w:rsidR="005B5890">
              <w:rPr>
                <w:rFonts w:ascii="Garamond" w:hAnsi="Garamond"/>
                <w:sz w:val="22"/>
                <w:lang w:val="nl-NL"/>
              </w:rPr>
              <w:t>v</w:t>
            </w:r>
            <w:r w:rsidR="00CD3A21" w:rsidRPr="00CD3A21">
              <w:rPr>
                <w:rFonts w:ascii="Garamond" w:hAnsi="Garamond"/>
                <w:sz w:val="22"/>
                <w:lang w:val="nl-NL"/>
              </w:rPr>
              <w:t xml:space="preserve">erordening (EU) 2016/679 van het Europees Parlement en de Raad van 27 april 2016 </w:t>
            </w:r>
            <w:r w:rsidR="00CD3A21">
              <w:rPr>
                <w:rFonts w:ascii="Garamond" w:hAnsi="Garamond"/>
                <w:sz w:val="22"/>
                <w:lang w:val="nl-NL"/>
              </w:rPr>
              <w:t>b</w:t>
            </w:r>
            <w:r w:rsidR="00CD3A21" w:rsidRPr="00CD3A21">
              <w:rPr>
                <w:rFonts w:ascii="Garamond" w:hAnsi="Garamond"/>
                <w:sz w:val="22"/>
                <w:lang w:val="nl-NL"/>
              </w:rPr>
              <w:t xml:space="preserve">etreffende de bescherming van natuurlijke personen in verband met de verwerking van persoonsgegevens en betreffende het vrije verkeer van die gegevens en tot intrekking van Richtlijn 95/46/EG na te leven bij de uitvoering van en het toezicht op het </w:t>
            </w:r>
            <w:r w:rsidR="00CD3A21">
              <w:rPr>
                <w:rFonts w:ascii="Garamond" w:hAnsi="Garamond"/>
                <w:sz w:val="22"/>
                <w:lang w:val="nl-NL"/>
              </w:rPr>
              <w:t>systeem van Nutrivigilantie</w:t>
            </w:r>
            <w:r w:rsidR="00CD3A21" w:rsidRPr="00CD3A21">
              <w:rPr>
                <w:rFonts w:ascii="Garamond" w:hAnsi="Garamond"/>
                <w:sz w:val="22"/>
                <w:lang w:val="nl-NL"/>
              </w:rPr>
              <w:t>.</w:t>
            </w:r>
          </w:p>
          <w:p w14:paraId="25E51646" w14:textId="77777777" w:rsidR="00FF4539" w:rsidRPr="00CB570F" w:rsidRDefault="00FF4539" w:rsidP="00CB570F">
            <w:pPr>
              <w:autoSpaceDE w:val="0"/>
              <w:autoSpaceDN w:val="0"/>
              <w:adjustRightInd w:val="0"/>
              <w:jc w:val="both"/>
              <w:rPr>
                <w:rFonts w:ascii="Garamond" w:hAnsi="Garamond"/>
                <w:sz w:val="22"/>
                <w:lang w:val="nl-NL"/>
              </w:rPr>
            </w:pPr>
          </w:p>
          <w:p w14:paraId="74469B9A" w14:textId="747624B4" w:rsidR="00CB570F" w:rsidRPr="00CB570F" w:rsidRDefault="00CB570F" w:rsidP="00CB570F">
            <w:pPr>
              <w:autoSpaceDE w:val="0"/>
              <w:autoSpaceDN w:val="0"/>
              <w:adjustRightInd w:val="0"/>
              <w:jc w:val="both"/>
              <w:rPr>
                <w:rFonts w:ascii="Garamond" w:hAnsi="Garamond"/>
                <w:sz w:val="22"/>
                <w:lang w:val="nl-NL"/>
              </w:rPr>
            </w:pPr>
            <w:r w:rsidRPr="00CB570F">
              <w:rPr>
                <w:rFonts w:ascii="Garamond" w:hAnsi="Garamond"/>
                <w:sz w:val="22"/>
                <w:lang w:val="nl-NL"/>
              </w:rPr>
              <w:t>§</w:t>
            </w:r>
            <w:r w:rsidR="00AF280E">
              <w:rPr>
                <w:rFonts w:ascii="Garamond" w:hAnsi="Garamond"/>
                <w:sz w:val="22"/>
                <w:lang w:val="nl-NL"/>
              </w:rPr>
              <w:t>6</w:t>
            </w:r>
            <w:r>
              <w:rPr>
                <w:rFonts w:ascii="Garamond" w:hAnsi="Garamond"/>
                <w:sz w:val="22"/>
                <w:lang w:val="nl-NL"/>
              </w:rPr>
              <w:t xml:space="preserve">. </w:t>
            </w:r>
            <w:r w:rsidRPr="00CB570F">
              <w:rPr>
                <w:rFonts w:ascii="Garamond" w:hAnsi="Garamond"/>
                <w:sz w:val="22"/>
                <w:lang w:val="nl-NL"/>
              </w:rPr>
              <w:t xml:space="preserve">In geval van een vermoedelijke bijwerking van een op Belgisch grondgebied in de handel gebracht </w:t>
            </w:r>
            <w:r w:rsidR="00CB05FF">
              <w:rPr>
                <w:rFonts w:ascii="Garamond" w:hAnsi="Garamond"/>
                <w:sz w:val="22"/>
                <w:lang w:val="nl-NL"/>
              </w:rPr>
              <w:t>voedingsmiddel</w:t>
            </w:r>
            <w:r w:rsidR="009E396F">
              <w:rPr>
                <w:rFonts w:ascii="Garamond" w:hAnsi="Garamond"/>
                <w:sz w:val="22"/>
                <w:lang w:val="nl-NL"/>
              </w:rPr>
              <w:t xml:space="preserve"> als bedoeld in §2</w:t>
            </w:r>
            <w:r>
              <w:rPr>
                <w:rFonts w:ascii="Garamond" w:hAnsi="Garamond"/>
                <w:sz w:val="22"/>
                <w:lang w:val="nl-NL"/>
              </w:rPr>
              <w:t>:</w:t>
            </w:r>
          </w:p>
          <w:p w14:paraId="53CC5F2D" w14:textId="3B650B31" w:rsidR="00CB570F" w:rsidRDefault="00AF280E" w:rsidP="00CB570F">
            <w:pPr>
              <w:autoSpaceDE w:val="0"/>
              <w:autoSpaceDN w:val="0"/>
              <w:adjustRightInd w:val="0"/>
              <w:jc w:val="both"/>
              <w:rPr>
                <w:rFonts w:ascii="Garamond" w:hAnsi="Garamond"/>
                <w:sz w:val="22"/>
                <w:lang w:val="nl-NL"/>
              </w:rPr>
            </w:pPr>
            <w:r>
              <w:rPr>
                <w:rFonts w:ascii="Garamond" w:hAnsi="Garamond"/>
                <w:sz w:val="22"/>
                <w:lang w:val="nl-NL"/>
              </w:rPr>
              <w:t>1°</w:t>
            </w:r>
            <w:r w:rsidR="00CB570F" w:rsidRPr="00CB570F">
              <w:rPr>
                <w:rFonts w:ascii="Garamond" w:hAnsi="Garamond"/>
                <w:sz w:val="22"/>
                <w:lang w:val="nl-NL"/>
              </w:rPr>
              <w:t xml:space="preserve"> </w:t>
            </w:r>
            <w:r w:rsidR="00CD3A21">
              <w:rPr>
                <w:rFonts w:ascii="Garamond" w:hAnsi="Garamond"/>
                <w:sz w:val="22"/>
                <w:lang w:val="nl-NL"/>
              </w:rPr>
              <w:t xml:space="preserve">moeten </w:t>
            </w:r>
            <w:r w:rsidR="00CB570F">
              <w:rPr>
                <w:rFonts w:ascii="Garamond" w:hAnsi="Garamond"/>
                <w:sz w:val="22"/>
                <w:lang w:val="nl-NL"/>
              </w:rPr>
              <w:t>operatoren</w:t>
            </w:r>
            <w:r w:rsidR="00CB570F" w:rsidRPr="00CB570F">
              <w:rPr>
                <w:rFonts w:ascii="Garamond" w:hAnsi="Garamond"/>
                <w:sz w:val="22"/>
                <w:lang w:val="nl-NL"/>
              </w:rPr>
              <w:t xml:space="preserve"> elke bijwerking waarvan zij op de hoogte zijn of waarvan redelijkerwijs kan worden verwacht dat zij op de hoogte zijn, binnen 5 werkdagen aan de </w:t>
            </w:r>
            <w:r w:rsidR="00CD3A21">
              <w:rPr>
                <w:rFonts w:ascii="Garamond" w:hAnsi="Garamond"/>
                <w:sz w:val="22"/>
                <w:lang w:val="nl-NL"/>
              </w:rPr>
              <w:t>D</w:t>
            </w:r>
            <w:r w:rsidR="00CB570F" w:rsidRPr="00CB570F">
              <w:rPr>
                <w:rFonts w:ascii="Garamond" w:hAnsi="Garamond"/>
                <w:sz w:val="22"/>
                <w:lang w:val="nl-NL"/>
              </w:rPr>
              <w:t>ienst melden;</w:t>
            </w:r>
          </w:p>
          <w:p w14:paraId="2E6B3403" w14:textId="77777777" w:rsidR="00FF4539" w:rsidRPr="00CB570F" w:rsidRDefault="00FF4539" w:rsidP="00CB570F">
            <w:pPr>
              <w:autoSpaceDE w:val="0"/>
              <w:autoSpaceDN w:val="0"/>
              <w:adjustRightInd w:val="0"/>
              <w:jc w:val="both"/>
              <w:rPr>
                <w:rFonts w:ascii="Garamond" w:hAnsi="Garamond"/>
                <w:sz w:val="22"/>
                <w:lang w:val="nl-NL"/>
              </w:rPr>
            </w:pPr>
          </w:p>
          <w:p w14:paraId="626C217B" w14:textId="5A0F0D4B" w:rsidR="00CB570F" w:rsidRPr="00CB570F" w:rsidRDefault="00AF280E" w:rsidP="00CB570F">
            <w:pPr>
              <w:autoSpaceDE w:val="0"/>
              <w:autoSpaceDN w:val="0"/>
              <w:adjustRightInd w:val="0"/>
              <w:jc w:val="both"/>
              <w:rPr>
                <w:rFonts w:ascii="Garamond" w:hAnsi="Garamond"/>
                <w:sz w:val="22"/>
                <w:lang w:val="nl-NL"/>
              </w:rPr>
            </w:pPr>
            <w:r>
              <w:rPr>
                <w:rFonts w:ascii="Garamond" w:hAnsi="Garamond"/>
                <w:sz w:val="22"/>
                <w:lang w:val="nl-NL"/>
              </w:rPr>
              <w:t>2°</w:t>
            </w:r>
            <w:r w:rsidR="00CB570F" w:rsidRPr="00CB570F">
              <w:rPr>
                <w:rFonts w:ascii="Garamond" w:hAnsi="Garamond"/>
                <w:sz w:val="22"/>
                <w:lang w:val="nl-NL"/>
              </w:rPr>
              <w:t xml:space="preserve"> </w:t>
            </w:r>
            <w:r w:rsidR="00CD3A21">
              <w:rPr>
                <w:rFonts w:ascii="Garamond" w:hAnsi="Garamond"/>
                <w:sz w:val="22"/>
                <w:lang w:val="nl-NL"/>
              </w:rPr>
              <w:t xml:space="preserve">moeten </w:t>
            </w:r>
            <w:r w:rsidR="00CB570F" w:rsidRPr="00CB570F">
              <w:rPr>
                <w:rFonts w:ascii="Garamond" w:hAnsi="Garamond"/>
                <w:sz w:val="22"/>
                <w:lang w:val="nl-NL"/>
              </w:rPr>
              <w:t>organisaties van openbaar belang of openbare nutsbedrijven melden bijwerkingen waarvan zij op de hoogte zijn of waarvan redelijkerwijs kan worden verwacht dat zij op de hoogte zijn, ten minste eenmaal per maand aan de dienst;</w:t>
            </w:r>
          </w:p>
          <w:p w14:paraId="694D473E" w14:textId="60A86031" w:rsidR="00CB570F" w:rsidRPr="00FF4539" w:rsidRDefault="00AF280E" w:rsidP="00CB570F">
            <w:pPr>
              <w:autoSpaceDE w:val="0"/>
              <w:autoSpaceDN w:val="0"/>
              <w:adjustRightInd w:val="0"/>
              <w:jc w:val="both"/>
              <w:rPr>
                <w:rFonts w:ascii="Garamond" w:hAnsi="Garamond"/>
                <w:sz w:val="22"/>
                <w:lang w:val="nl-NL"/>
              </w:rPr>
            </w:pPr>
            <w:r>
              <w:rPr>
                <w:rFonts w:ascii="Garamond" w:hAnsi="Garamond"/>
                <w:sz w:val="22"/>
                <w:lang w:val="nl-NL"/>
              </w:rPr>
              <w:t>3°</w:t>
            </w:r>
            <w:r w:rsidR="00CB570F" w:rsidRPr="00CB570F">
              <w:rPr>
                <w:rFonts w:ascii="Garamond" w:hAnsi="Garamond"/>
                <w:sz w:val="22"/>
                <w:lang w:val="nl-NL"/>
              </w:rPr>
              <w:t xml:space="preserve"> </w:t>
            </w:r>
            <w:r w:rsidR="005A48A2">
              <w:rPr>
                <w:rFonts w:ascii="Garamond" w:hAnsi="Garamond"/>
                <w:sz w:val="22"/>
                <w:lang w:val="nl-NL"/>
              </w:rPr>
              <w:t>b</w:t>
            </w:r>
            <w:r w:rsidR="00CB570F" w:rsidRPr="00CB570F">
              <w:rPr>
                <w:rFonts w:ascii="Garamond" w:hAnsi="Garamond"/>
                <w:sz w:val="22"/>
                <w:lang w:val="nl-NL"/>
              </w:rPr>
              <w:t xml:space="preserve">eroepsbeoefenaren in de gezondheidszorg, zoals artsen, apothekers en andere beroepsbeoefenaren in de gezondheidszorg, </w:t>
            </w:r>
            <w:r w:rsidR="005A48A2">
              <w:rPr>
                <w:rFonts w:ascii="Garamond" w:hAnsi="Garamond"/>
                <w:sz w:val="22"/>
                <w:lang w:val="nl-NL"/>
              </w:rPr>
              <w:t>alsook</w:t>
            </w:r>
            <w:r w:rsidR="005A48A2" w:rsidRPr="00CB570F">
              <w:rPr>
                <w:rFonts w:ascii="Garamond" w:hAnsi="Garamond"/>
                <w:sz w:val="22"/>
                <w:lang w:val="nl-NL"/>
              </w:rPr>
              <w:t xml:space="preserve"> </w:t>
            </w:r>
            <w:r w:rsidR="00CB570F" w:rsidRPr="00CB570F">
              <w:rPr>
                <w:rFonts w:ascii="Garamond" w:hAnsi="Garamond"/>
                <w:sz w:val="22"/>
                <w:lang w:val="nl-NL"/>
              </w:rPr>
              <w:t xml:space="preserve">organisaties </w:t>
            </w:r>
            <w:r w:rsidR="005A48A2">
              <w:rPr>
                <w:rFonts w:ascii="Garamond" w:hAnsi="Garamond"/>
                <w:sz w:val="22"/>
                <w:lang w:val="nl-NL"/>
              </w:rPr>
              <w:t xml:space="preserve">die </w:t>
            </w:r>
            <w:r w:rsidR="00CB570F" w:rsidRPr="00CB570F">
              <w:rPr>
                <w:rFonts w:ascii="Garamond" w:hAnsi="Garamond"/>
                <w:sz w:val="22"/>
                <w:lang w:val="nl-NL"/>
              </w:rPr>
              <w:t xml:space="preserve">kennis </w:t>
            </w:r>
            <w:r w:rsidR="005A48A2">
              <w:rPr>
                <w:rFonts w:ascii="Garamond" w:hAnsi="Garamond"/>
                <w:sz w:val="22"/>
                <w:lang w:val="nl-NL"/>
              </w:rPr>
              <w:t xml:space="preserve">hebben </w:t>
            </w:r>
            <w:r w:rsidR="00CB570F" w:rsidRPr="00CB570F">
              <w:rPr>
                <w:rFonts w:ascii="Garamond" w:hAnsi="Garamond"/>
                <w:sz w:val="22"/>
                <w:lang w:val="nl-NL"/>
              </w:rPr>
              <w:t xml:space="preserve">van bijwerkingen </w:t>
            </w:r>
            <w:r w:rsidR="00191D20" w:rsidRPr="00FF4539">
              <w:rPr>
                <w:rFonts w:ascii="Garamond" w:hAnsi="Garamond"/>
                <w:sz w:val="22"/>
                <w:lang w:val="nl-NL"/>
              </w:rPr>
              <w:t xml:space="preserve">kunnen </w:t>
            </w:r>
            <w:r w:rsidR="00CB570F" w:rsidRPr="00FF4539">
              <w:rPr>
                <w:rFonts w:ascii="Garamond" w:hAnsi="Garamond"/>
                <w:sz w:val="22"/>
                <w:lang w:val="nl-NL"/>
              </w:rPr>
              <w:t>vermoedelijke bijwerkingen</w:t>
            </w:r>
            <w:r w:rsidR="00191D20" w:rsidRPr="00FF4539">
              <w:rPr>
                <w:rFonts w:ascii="Garamond" w:hAnsi="Garamond"/>
                <w:sz w:val="22"/>
                <w:lang w:val="nl-NL"/>
              </w:rPr>
              <w:t>melden</w:t>
            </w:r>
            <w:r w:rsidR="00CB570F" w:rsidRPr="00FF4539">
              <w:rPr>
                <w:rFonts w:ascii="Garamond" w:hAnsi="Garamond"/>
                <w:sz w:val="22"/>
                <w:lang w:val="nl-NL"/>
              </w:rPr>
              <w:t>;</w:t>
            </w:r>
          </w:p>
          <w:p w14:paraId="50C09B8C" w14:textId="1898C589" w:rsidR="00CB570F" w:rsidRPr="004422E2" w:rsidRDefault="00AF280E" w:rsidP="00CB570F">
            <w:pPr>
              <w:autoSpaceDE w:val="0"/>
              <w:autoSpaceDN w:val="0"/>
              <w:adjustRightInd w:val="0"/>
              <w:jc w:val="both"/>
              <w:rPr>
                <w:rFonts w:ascii="Garamond" w:hAnsi="Garamond"/>
                <w:sz w:val="22"/>
                <w:lang w:val="nl-NL"/>
              </w:rPr>
            </w:pPr>
            <w:r w:rsidRPr="00FF4539">
              <w:rPr>
                <w:rFonts w:ascii="Garamond" w:hAnsi="Garamond"/>
                <w:sz w:val="22"/>
                <w:lang w:val="nl-NL"/>
              </w:rPr>
              <w:t>4°</w:t>
            </w:r>
            <w:r w:rsidR="00CB570F" w:rsidRPr="00FF4539">
              <w:rPr>
                <w:rFonts w:ascii="Garamond" w:hAnsi="Garamond"/>
                <w:sz w:val="22"/>
                <w:lang w:val="nl-NL"/>
              </w:rPr>
              <w:t xml:space="preserve"> burgers </w:t>
            </w:r>
            <w:r w:rsidR="00191D20" w:rsidRPr="00FF4539">
              <w:rPr>
                <w:rFonts w:ascii="Garamond" w:hAnsi="Garamond"/>
                <w:sz w:val="22"/>
                <w:lang w:val="nl-NL"/>
              </w:rPr>
              <w:t xml:space="preserve">kunnen </w:t>
            </w:r>
            <w:r w:rsidR="00CB570F" w:rsidRPr="00FF4539">
              <w:rPr>
                <w:rFonts w:ascii="Garamond" w:hAnsi="Garamond"/>
                <w:sz w:val="22"/>
                <w:lang w:val="nl-NL"/>
              </w:rPr>
              <w:t>vermoedelijke bijwerkingen</w:t>
            </w:r>
            <w:r w:rsidR="00191D20" w:rsidRPr="00FF4539">
              <w:rPr>
                <w:rFonts w:ascii="Garamond" w:hAnsi="Garamond"/>
                <w:sz w:val="22"/>
                <w:lang w:val="nl-NL"/>
              </w:rPr>
              <w:t xml:space="preserve"> melden</w:t>
            </w:r>
            <w:r w:rsidR="00CB570F" w:rsidRPr="00FF4539">
              <w:rPr>
                <w:rFonts w:ascii="Garamond" w:hAnsi="Garamond"/>
                <w:sz w:val="22"/>
                <w:lang w:val="nl-NL"/>
              </w:rPr>
              <w:t>.</w:t>
            </w:r>
          </w:p>
        </w:tc>
      </w:tr>
      <w:tr w:rsidR="001B0E47" w:rsidRPr="004E5F07" w14:paraId="3897C3ED" w14:textId="77777777" w:rsidTr="004A40DF">
        <w:tc>
          <w:tcPr>
            <w:tcW w:w="4496" w:type="dxa"/>
            <w:tcBorders>
              <w:top w:val="nil"/>
              <w:left w:val="nil"/>
              <w:bottom w:val="nil"/>
              <w:right w:val="nil"/>
            </w:tcBorders>
          </w:tcPr>
          <w:p w14:paraId="38ACFB85" w14:textId="77777777" w:rsidR="001B0E47" w:rsidRPr="004422E2" w:rsidRDefault="001B0E47" w:rsidP="001B0E47">
            <w:pPr>
              <w:tabs>
                <w:tab w:val="left" w:pos="356"/>
                <w:tab w:val="left" w:pos="567"/>
                <w:tab w:val="left" w:pos="2268"/>
              </w:tabs>
              <w:jc w:val="both"/>
              <w:rPr>
                <w:rFonts w:ascii="Garamond" w:hAnsi="Garamond"/>
                <w:b/>
                <w:sz w:val="22"/>
                <w:lang w:val="nl-NL"/>
              </w:rPr>
            </w:pPr>
          </w:p>
        </w:tc>
        <w:tc>
          <w:tcPr>
            <w:tcW w:w="324" w:type="dxa"/>
            <w:tcBorders>
              <w:top w:val="nil"/>
              <w:left w:val="nil"/>
              <w:bottom w:val="nil"/>
              <w:right w:val="nil"/>
            </w:tcBorders>
          </w:tcPr>
          <w:p w14:paraId="5F39E386" w14:textId="77777777" w:rsidR="001B0E47" w:rsidRPr="004422E2" w:rsidRDefault="001B0E47" w:rsidP="001B0E47">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4ADA6D16" w14:textId="77777777" w:rsidR="001B0E47" w:rsidRPr="004422E2" w:rsidRDefault="001B0E47" w:rsidP="001B0E47">
            <w:pPr>
              <w:autoSpaceDE w:val="0"/>
              <w:autoSpaceDN w:val="0"/>
              <w:adjustRightInd w:val="0"/>
              <w:jc w:val="both"/>
              <w:rPr>
                <w:rFonts w:ascii="Garamond" w:hAnsi="Garamond"/>
                <w:b/>
                <w:sz w:val="22"/>
                <w:lang w:val="nl-NL"/>
              </w:rPr>
            </w:pPr>
          </w:p>
        </w:tc>
      </w:tr>
      <w:tr w:rsidR="001B0E47" w:rsidRPr="004E5F07" w14:paraId="0C6F58E5" w14:textId="77777777" w:rsidTr="0013508B">
        <w:tc>
          <w:tcPr>
            <w:tcW w:w="4496" w:type="dxa"/>
            <w:tcBorders>
              <w:top w:val="nil"/>
              <w:left w:val="nil"/>
              <w:bottom w:val="nil"/>
              <w:right w:val="nil"/>
            </w:tcBorders>
          </w:tcPr>
          <w:p w14:paraId="6919B555" w14:textId="24821B98" w:rsidR="001B0E47" w:rsidRPr="00A07D74" w:rsidRDefault="001B0E47" w:rsidP="001B0E47">
            <w:pPr>
              <w:tabs>
                <w:tab w:val="left" w:pos="356"/>
                <w:tab w:val="left" w:pos="567"/>
                <w:tab w:val="left" w:pos="2268"/>
              </w:tabs>
              <w:jc w:val="both"/>
              <w:rPr>
                <w:rFonts w:ascii="Garamond" w:hAnsi="Garamond"/>
                <w:sz w:val="22"/>
                <w:lang w:val="fr-BE"/>
              </w:rPr>
            </w:pPr>
            <w:r>
              <w:rPr>
                <w:rFonts w:ascii="Garamond" w:hAnsi="Garamond"/>
                <w:b/>
                <w:bCs/>
                <w:sz w:val="22"/>
                <w:lang w:val="fr-BE"/>
              </w:rPr>
              <w:t xml:space="preserve">Art. 4. </w:t>
            </w:r>
            <w:r>
              <w:rPr>
                <w:rFonts w:ascii="Garamond" w:hAnsi="Garamond"/>
                <w:sz w:val="22"/>
                <w:lang w:val="fr-BE"/>
              </w:rPr>
              <w:t>§1</w:t>
            </w:r>
            <w:r w:rsidRPr="00A07D74">
              <w:rPr>
                <w:rFonts w:ascii="Garamond" w:hAnsi="Garamond"/>
                <w:sz w:val="22"/>
                <w:vertAlign w:val="superscript"/>
                <w:lang w:val="fr-BE"/>
              </w:rPr>
              <w:t>er</w:t>
            </w:r>
            <w:r>
              <w:rPr>
                <w:rFonts w:ascii="Garamond" w:hAnsi="Garamond"/>
                <w:sz w:val="22"/>
                <w:lang w:val="fr-BE"/>
              </w:rPr>
              <w:t>.</w:t>
            </w:r>
            <w:r w:rsidRPr="00A07D74">
              <w:rPr>
                <w:rFonts w:ascii="Garamond" w:hAnsi="Garamond"/>
                <w:b/>
                <w:bCs/>
                <w:sz w:val="22"/>
                <w:lang w:val="fr-BE"/>
              </w:rPr>
              <w:t xml:space="preserve"> </w:t>
            </w:r>
            <w:r w:rsidRPr="00A07D74">
              <w:rPr>
                <w:rFonts w:ascii="Garamond" w:hAnsi="Garamond"/>
                <w:sz w:val="22"/>
                <w:lang w:val="fr-BE"/>
              </w:rPr>
              <w:t xml:space="preserve">Pour le suivi des cas d’effet indésirable: </w:t>
            </w:r>
          </w:p>
          <w:p w14:paraId="1A4E79E3" w14:textId="501D45A2" w:rsidR="001B0E47" w:rsidRPr="00A07D74" w:rsidRDefault="00550B34" w:rsidP="001B0E47">
            <w:pPr>
              <w:tabs>
                <w:tab w:val="left" w:pos="356"/>
                <w:tab w:val="left" w:pos="567"/>
                <w:tab w:val="left" w:pos="2268"/>
              </w:tabs>
              <w:jc w:val="both"/>
              <w:rPr>
                <w:rFonts w:ascii="Garamond" w:hAnsi="Garamond"/>
                <w:sz w:val="22"/>
                <w:lang w:val="fr-BE"/>
              </w:rPr>
            </w:pPr>
            <w:r>
              <w:rPr>
                <w:rFonts w:ascii="Garamond" w:hAnsi="Garamond"/>
                <w:sz w:val="22"/>
                <w:lang w:val="fr-BE"/>
              </w:rPr>
              <w:t>1°</w:t>
            </w:r>
            <w:r w:rsidR="001B0E47" w:rsidRPr="00A07D74">
              <w:rPr>
                <w:rFonts w:ascii="Garamond" w:hAnsi="Garamond"/>
                <w:sz w:val="22"/>
                <w:lang w:val="fr-BE"/>
              </w:rPr>
              <w:tab/>
            </w:r>
            <w:r w:rsidR="00C9542E">
              <w:rPr>
                <w:rFonts w:ascii="Garamond" w:hAnsi="Garamond"/>
                <w:sz w:val="22"/>
                <w:lang w:val="fr-BE"/>
              </w:rPr>
              <w:t>l</w:t>
            </w:r>
            <w:r w:rsidR="001B0E47">
              <w:rPr>
                <w:rFonts w:ascii="Garamond" w:hAnsi="Garamond"/>
                <w:sz w:val="22"/>
                <w:lang w:val="fr-BE"/>
              </w:rPr>
              <w:t>e Service</w:t>
            </w:r>
            <w:r w:rsidR="001B0E47" w:rsidRPr="00A07D74">
              <w:rPr>
                <w:rFonts w:ascii="Garamond" w:hAnsi="Garamond"/>
                <w:sz w:val="22"/>
                <w:lang w:val="fr-BE"/>
              </w:rPr>
              <w:t xml:space="preserve"> peut demander des compléments d’information à l’opérateur ou à la personne qui a </w:t>
            </w:r>
            <w:r w:rsidR="009C118B">
              <w:rPr>
                <w:rFonts w:ascii="Garamond" w:hAnsi="Garamond"/>
                <w:sz w:val="22"/>
                <w:lang w:val="fr-BE"/>
              </w:rPr>
              <w:t>déclaré</w:t>
            </w:r>
            <w:r w:rsidR="001B0E47" w:rsidRPr="00A07D74">
              <w:rPr>
                <w:rFonts w:ascii="Garamond" w:hAnsi="Garamond"/>
                <w:sz w:val="22"/>
                <w:lang w:val="fr-BE"/>
              </w:rPr>
              <w:t xml:space="preserve"> l’effet indésirable afin d’obtenir des informations exactes et vérifiables pour la réalisation de l'évaluation scientifique des notifications d'effets indésirables suspectés ;</w:t>
            </w:r>
          </w:p>
          <w:p w14:paraId="4FA6C48B" w14:textId="0E054699" w:rsidR="001B0E47" w:rsidRPr="00A07D74" w:rsidRDefault="00550B34" w:rsidP="001B0E47">
            <w:pPr>
              <w:tabs>
                <w:tab w:val="left" w:pos="356"/>
                <w:tab w:val="left" w:pos="567"/>
                <w:tab w:val="left" w:pos="2268"/>
              </w:tabs>
              <w:jc w:val="both"/>
              <w:rPr>
                <w:rFonts w:ascii="Garamond" w:hAnsi="Garamond"/>
                <w:sz w:val="22"/>
                <w:lang w:val="fr-BE"/>
              </w:rPr>
            </w:pPr>
            <w:r>
              <w:rPr>
                <w:rFonts w:ascii="Garamond" w:hAnsi="Garamond"/>
                <w:sz w:val="22"/>
                <w:lang w:val="fr-BE"/>
              </w:rPr>
              <w:t>2°</w:t>
            </w:r>
            <w:r w:rsidR="001B0E47" w:rsidRPr="00A07D74">
              <w:rPr>
                <w:rFonts w:ascii="Garamond" w:hAnsi="Garamond"/>
                <w:sz w:val="22"/>
                <w:lang w:val="fr-BE"/>
              </w:rPr>
              <w:tab/>
            </w:r>
            <w:r w:rsidR="00C9542E">
              <w:rPr>
                <w:rFonts w:ascii="Garamond" w:hAnsi="Garamond"/>
                <w:sz w:val="22"/>
                <w:lang w:val="fr-BE"/>
              </w:rPr>
              <w:t>l</w:t>
            </w:r>
            <w:r w:rsidR="001B0E47">
              <w:rPr>
                <w:rFonts w:ascii="Garamond" w:hAnsi="Garamond"/>
                <w:sz w:val="22"/>
                <w:lang w:val="fr-BE"/>
              </w:rPr>
              <w:t>e Service</w:t>
            </w:r>
            <w:r w:rsidR="001B0E47" w:rsidRPr="00A07D74">
              <w:rPr>
                <w:rFonts w:ascii="Garamond" w:hAnsi="Garamond"/>
                <w:sz w:val="22"/>
                <w:lang w:val="fr-BE"/>
              </w:rPr>
              <w:t xml:space="preserve"> analyse les cas en collaboration avec la Commission ;</w:t>
            </w:r>
          </w:p>
          <w:p w14:paraId="4BCEE27C" w14:textId="2AA86EED" w:rsidR="001B0E47" w:rsidRPr="00A07D74" w:rsidRDefault="00550B34" w:rsidP="001B0E47">
            <w:pPr>
              <w:tabs>
                <w:tab w:val="left" w:pos="356"/>
                <w:tab w:val="left" w:pos="567"/>
                <w:tab w:val="left" w:pos="2268"/>
              </w:tabs>
              <w:jc w:val="both"/>
              <w:rPr>
                <w:rFonts w:ascii="Garamond" w:hAnsi="Garamond"/>
                <w:sz w:val="22"/>
                <w:lang w:val="fr-BE"/>
              </w:rPr>
            </w:pPr>
            <w:r>
              <w:rPr>
                <w:rFonts w:ascii="Garamond" w:hAnsi="Garamond"/>
                <w:sz w:val="22"/>
                <w:lang w:val="fr-BE"/>
              </w:rPr>
              <w:lastRenderedPageBreak/>
              <w:t>3°</w:t>
            </w:r>
            <w:r w:rsidR="001B0E47" w:rsidRPr="00A07D74">
              <w:rPr>
                <w:rFonts w:ascii="Garamond" w:hAnsi="Garamond"/>
                <w:sz w:val="22"/>
                <w:lang w:val="fr-BE"/>
              </w:rPr>
              <w:tab/>
            </w:r>
            <w:r w:rsidR="001B0E47">
              <w:rPr>
                <w:rFonts w:ascii="Garamond" w:hAnsi="Garamond"/>
                <w:sz w:val="22"/>
                <w:lang w:val="fr-BE"/>
              </w:rPr>
              <w:t>Le Service</w:t>
            </w:r>
            <w:r w:rsidR="001B0E47" w:rsidRPr="00A07D74">
              <w:rPr>
                <w:rFonts w:ascii="Garamond" w:hAnsi="Garamond"/>
                <w:sz w:val="22"/>
                <w:lang w:val="fr-BE"/>
              </w:rPr>
              <w:t xml:space="preserve"> peut demander des évaluations supplémentaires </w:t>
            </w:r>
            <w:r w:rsidR="0082131E">
              <w:rPr>
                <w:rFonts w:ascii="Garamond" w:hAnsi="Garamond"/>
                <w:sz w:val="22"/>
                <w:lang w:val="fr-BE"/>
              </w:rPr>
              <w:t>au Conseil supérieur de la Santé</w:t>
            </w:r>
            <w:r w:rsidR="004078BB">
              <w:rPr>
                <w:rFonts w:ascii="Garamond" w:hAnsi="Garamond"/>
                <w:sz w:val="22"/>
                <w:lang w:val="fr-BE"/>
              </w:rPr>
              <w:t xml:space="preserve"> ou à l’A</w:t>
            </w:r>
            <w:r w:rsidR="00091CAF">
              <w:rPr>
                <w:rFonts w:ascii="Garamond" w:hAnsi="Garamond"/>
                <w:sz w:val="22"/>
                <w:lang w:val="fr-BE"/>
              </w:rPr>
              <w:t xml:space="preserve">gence </w:t>
            </w:r>
            <w:r w:rsidR="004078BB">
              <w:rPr>
                <w:rFonts w:ascii="Garamond" w:hAnsi="Garamond"/>
                <w:sz w:val="22"/>
                <w:lang w:val="fr-BE"/>
              </w:rPr>
              <w:t>F</w:t>
            </w:r>
            <w:r w:rsidR="00091CAF">
              <w:rPr>
                <w:rFonts w:ascii="Garamond" w:hAnsi="Garamond"/>
                <w:sz w:val="22"/>
                <w:lang w:val="fr-BE"/>
              </w:rPr>
              <w:t xml:space="preserve">édérale des </w:t>
            </w:r>
            <w:r w:rsidR="004078BB">
              <w:rPr>
                <w:rFonts w:ascii="Garamond" w:hAnsi="Garamond"/>
                <w:sz w:val="22"/>
                <w:lang w:val="fr-BE"/>
              </w:rPr>
              <w:t>M</w:t>
            </w:r>
            <w:r w:rsidR="00091CAF">
              <w:rPr>
                <w:rFonts w:ascii="Garamond" w:hAnsi="Garamond"/>
                <w:sz w:val="22"/>
                <w:lang w:val="fr-BE"/>
              </w:rPr>
              <w:t xml:space="preserve">édicaments et des </w:t>
            </w:r>
            <w:r w:rsidR="004078BB">
              <w:rPr>
                <w:rFonts w:ascii="Garamond" w:hAnsi="Garamond"/>
                <w:sz w:val="22"/>
                <w:lang w:val="fr-BE"/>
              </w:rPr>
              <w:t>P</w:t>
            </w:r>
            <w:r w:rsidR="00091CAF">
              <w:rPr>
                <w:rFonts w:ascii="Garamond" w:hAnsi="Garamond"/>
                <w:sz w:val="22"/>
                <w:lang w:val="fr-BE"/>
              </w:rPr>
              <w:t xml:space="preserve">roduits de </w:t>
            </w:r>
            <w:r w:rsidR="004078BB">
              <w:rPr>
                <w:rFonts w:ascii="Garamond" w:hAnsi="Garamond"/>
                <w:sz w:val="22"/>
                <w:lang w:val="fr-BE"/>
              </w:rPr>
              <w:t>S</w:t>
            </w:r>
            <w:r w:rsidR="00091CAF">
              <w:rPr>
                <w:rFonts w:ascii="Garamond" w:hAnsi="Garamond"/>
                <w:sz w:val="22"/>
                <w:lang w:val="fr-BE"/>
              </w:rPr>
              <w:t>anté</w:t>
            </w:r>
            <w:r w:rsidR="001B0E47" w:rsidRPr="00A07D74">
              <w:rPr>
                <w:rFonts w:ascii="Garamond" w:hAnsi="Garamond"/>
                <w:sz w:val="22"/>
                <w:lang w:val="fr-BE"/>
              </w:rPr>
              <w:t xml:space="preserve"> ;</w:t>
            </w:r>
          </w:p>
          <w:p w14:paraId="38321136" w14:textId="5165DA45" w:rsidR="001B0E47" w:rsidRDefault="00550B34" w:rsidP="001B0E47">
            <w:pPr>
              <w:tabs>
                <w:tab w:val="left" w:pos="356"/>
                <w:tab w:val="left" w:pos="567"/>
                <w:tab w:val="left" w:pos="2268"/>
              </w:tabs>
              <w:jc w:val="both"/>
              <w:rPr>
                <w:rFonts w:ascii="Garamond" w:hAnsi="Garamond"/>
                <w:sz w:val="22"/>
                <w:lang w:val="fr-BE"/>
              </w:rPr>
            </w:pPr>
            <w:r>
              <w:rPr>
                <w:rFonts w:ascii="Garamond" w:hAnsi="Garamond"/>
                <w:sz w:val="22"/>
                <w:lang w:val="fr-BE"/>
              </w:rPr>
              <w:t>4°</w:t>
            </w:r>
            <w:r w:rsidR="001B0E47" w:rsidRPr="00A07D74">
              <w:rPr>
                <w:rFonts w:ascii="Garamond" w:hAnsi="Garamond"/>
                <w:sz w:val="22"/>
                <w:lang w:val="fr-BE"/>
              </w:rPr>
              <w:tab/>
            </w:r>
            <w:r w:rsidR="00C9542E">
              <w:rPr>
                <w:rFonts w:ascii="Garamond" w:hAnsi="Garamond"/>
                <w:sz w:val="22"/>
                <w:lang w:val="fr-BE"/>
              </w:rPr>
              <w:t>l</w:t>
            </w:r>
            <w:r w:rsidR="001B0E47">
              <w:rPr>
                <w:rFonts w:ascii="Garamond" w:hAnsi="Garamond"/>
                <w:sz w:val="22"/>
                <w:lang w:val="fr-BE"/>
              </w:rPr>
              <w:t>e Service</w:t>
            </w:r>
            <w:r w:rsidR="001B0E47" w:rsidRPr="00A07D74">
              <w:rPr>
                <w:rFonts w:ascii="Garamond" w:hAnsi="Garamond"/>
                <w:sz w:val="22"/>
                <w:lang w:val="fr-BE"/>
              </w:rPr>
              <w:t xml:space="preserve"> émet annuellement les statistiques du système de nutrivigilance et les présente au Conseil consultatif en matière de politique alimentaire et d’utilisation d’autres produits de consommation.</w:t>
            </w:r>
          </w:p>
          <w:p w14:paraId="4E9F0B3E" w14:textId="77777777" w:rsidR="001B0E47" w:rsidRDefault="001B0E47" w:rsidP="001B0E47">
            <w:pPr>
              <w:tabs>
                <w:tab w:val="left" w:pos="356"/>
                <w:tab w:val="left" w:pos="567"/>
                <w:tab w:val="left" w:pos="2268"/>
              </w:tabs>
              <w:jc w:val="both"/>
              <w:rPr>
                <w:rFonts w:ascii="Garamond" w:hAnsi="Garamond"/>
                <w:sz w:val="22"/>
                <w:lang w:val="fr-BE"/>
              </w:rPr>
            </w:pPr>
          </w:p>
          <w:p w14:paraId="6FB76AED" w14:textId="6F23C7FD" w:rsidR="001B0E47" w:rsidRPr="00C30859" w:rsidRDefault="001B0E47" w:rsidP="001B0E47">
            <w:pPr>
              <w:tabs>
                <w:tab w:val="left" w:pos="356"/>
                <w:tab w:val="left" w:pos="567"/>
                <w:tab w:val="left" w:pos="2268"/>
              </w:tabs>
              <w:jc w:val="both"/>
              <w:rPr>
                <w:rFonts w:ascii="Garamond" w:hAnsi="Garamond"/>
                <w:sz w:val="22"/>
                <w:lang w:val="fr-BE"/>
              </w:rPr>
            </w:pPr>
            <w:r>
              <w:rPr>
                <w:rFonts w:ascii="Garamond" w:hAnsi="Garamond"/>
                <w:sz w:val="22"/>
                <w:lang w:val="fr-BE"/>
              </w:rPr>
              <w:t xml:space="preserve">§2. Suite à un effet indésirable, si </w:t>
            </w:r>
            <w:r w:rsidRPr="00A07D74">
              <w:rPr>
                <w:rFonts w:ascii="Garamond" w:hAnsi="Garamond"/>
                <w:sz w:val="22"/>
                <w:lang w:val="fr-BE"/>
              </w:rPr>
              <w:t xml:space="preserve">l’opérateur </w:t>
            </w:r>
            <w:r>
              <w:rPr>
                <w:rFonts w:ascii="Garamond" w:hAnsi="Garamond"/>
                <w:sz w:val="22"/>
                <w:lang w:val="fr-BE"/>
              </w:rPr>
              <w:t>prend</w:t>
            </w:r>
            <w:r w:rsidRPr="00A07D74">
              <w:rPr>
                <w:rFonts w:ascii="Garamond" w:hAnsi="Garamond"/>
                <w:sz w:val="22"/>
                <w:lang w:val="fr-BE"/>
              </w:rPr>
              <w:t xml:space="preserve"> des mesures correctrices</w:t>
            </w:r>
            <w:r>
              <w:rPr>
                <w:rFonts w:ascii="Garamond" w:hAnsi="Garamond"/>
                <w:sz w:val="22"/>
                <w:lang w:val="fr-BE"/>
              </w:rPr>
              <w:t xml:space="preserve">, il doit </w:t>
            </w:r>
            <w:r w:rsidRPr="00A07D74">
              <w:rPr>
                <w:rFonts w:ascii="Garamond" w:hAnsi="Garamond"/>
                <w:sz w:val="22"/>
                <w:lang w:val="fr-BE"/>
              </w:rPr>
              <w:t xml:space="preserve">en informer </w:t>
            </w:r>
            <w:r>
              <w:rPr>
                <w:rFonts w:ascii="Garamond" w:hAnsi="Garamond"/>
                <w:sz w:val="22"/>
                <w:lang w:val="fr-BE"/>
              </w:rPr>
              <w:t>le Service.</w:t>
            </w:r>
          </w:p>
        </w:tc>
        <w:tc>
          <w:tcPr>
            <w:tcW w:w="324" w:type="dxa"/>
            <w:tcBorders>
              <w:top w:val="nil"/>
              <w:left w:val="nil"/>
              <w:bottom w:val="nil"/>
              <w:right w:val="nil"/>
            </w:tcBorders>
          </w:tcPr>
          <w:p w14:paraId="6A8DFF67" w14:textId="77777777" w:rsidR="001B0E47" w:rsidRPr="00B03E0B" w:rsidRDefault="001B0E47" w:rsidP="001B0E47">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16B9615C" w14:textId="584A5E98" w:rsidR="009C118B" w:rsidRPr="009C118B" w:rsidRDefault="001B0E47" w:rsidP="009C118B">
            <w:pPr>
              <w:autoSpaceDE w:val="0"/>
              <w:autoSpaceDN w:val="0"/>
              <w:adjustRightInd w:val="0"/>
              <w:jc w:val="both"/>
              <w:rPr>
                <w:rFonts w:ascii="Garamond" w:hAnsi="Garamond"/>
                <w:sz w:val="22"/>
                <w:lang w:val="nl-NL"/>
              </w:rPr>
            </w:pPr>
            <w:r w:rsidRPr="004422E2">
              <w:rPr>
                <w:rFonts w:ascii="Garamond" w:hAnsi="Garamond"/>
                <w:b/>
                <w:bCs/>
                <w:sz w:val="22"/>
                <w:lang w:val="nl-NL"/>
              </w:rPr>
              <w:t>Art. 4.</w:t>
            </w:r>
            <w:r w:rsidR="009C118B">
              <w:rPr>
                <w:rFonts w:ascii="Garamond" w:hAnsi="Garamond"/>
                <w:b/>
                <w:bCs/>
                <w:sz w:val="22"/>
                <w:lang w:val="nl-NL"/>
              </w:rPr>
              <w:t xml:space="preserve"> </w:t>
            </w:r>
            <w:r w:rsidR="009C118B">
              <w:rPr>
                <w:rFonts w:ascii="Garamond" w:hAnsi="Garamond"/>
                <w:sz w:val="22"/>
                <w:lang w:val="nl-NL"/>
              </w:rPr>
              <w:t xml:space="preserve">§1. </w:t>
            </w:r>
            <w:r w:rsidR="009C118B" w:rsidRPr="009C118B">
              <w:rPr>
                <w:rFonts w:ascii="Garamond" w:hAnsi="Garamond"/>
                <w:sz w:val="22"/>
                <w:lang w:val="nl-NL"/>
              </w:rPr>
              <w:t xml:space="preserve">Voor de </w:t>
            </w:r>
            <w:r w:rsidR="005A48A2">
              <w:rPr>
                <w:rFonts w:ascii="Garamond" w:hAnsi="Garamond"/>
                <w:sz w:val="22"/>
                <w:lang w:val="nl-NL"/>
              </w:rPr>
              <w:t>opvol</w:t>
            </w:r>
            <w:r w:rsidR="00B17164">
              <w:rPr>
                <w:rFonts w:ascii="Garamond" w:hAnsi="Garamond"/>
                <w:sz w:val="22"/>
                <w:lang w:val="nl-NL"/>
              </w:rPr>
              <w:t>g</w:t>
            </w:r>
            <w:r w:rsidR="005A48A2">
              <w:rPr>
                <w:rFonts w:ascii="Garamond" w:hAnsi="Garamond"/>
                <w:sz w:val="22"/>
                <w:lang w:val="nl-NL"/>
              </w:rPr>
              <w:t>ing</w:t>
            </w:r>
            <w:r w:rsidR="009C118B" w:rsidRPr="009C118B">
              <w:rPr>
                <w:rFonts w:ascii="Garamond" w:hAnsi="Garamond"/>
                <w:sz w:val="22"/>
                <w:lang w:val="nl-NL"/>
              </w:rPr>
              <w:t xml:space="preserve"> van bijwerkingen: </w:t>
            </w:r>
          </w:p>
          <w:p w14:paraId="60D8C596" w14:textId="07970FE7" w:rsidR="009C118B" w:rsidRPr="009C118B" w:rsidRDefault="00550B34" w:rsidP="009C118B">
            <w:pPr>
              <w:autoSpaceDE w:val="0"/>
              <w:autoSpaceDN w:val="0"/>
              <w:adjustRightInd w:val="0"/>
              <w:jc w:val="both"/>
              <w:rPr>
                <w:rFonts w:ascii="Garamond" w:hAnsi="Garamond"/>
                <w:sz w:val="22"/>
                <w:lang w:val="nl-NL"/>
              </w:rPr>
            </w:pPr>
            <w:r>
              <w:rPr>
                <w:rFonts w:ascii="Garamond" w:hAnsi="Garamond"/>
                <w:sz w:val="22"/>
                <w:lang w:val="nl-NL"/>
              </w:rPr>
              <w:t>1°</w:t>
            </w:r>
            <w:r w:rsidR="009C118B" w:rsidRPr="009C118B">
              <w:rPr>
                <w:rFonts w:ascii="Garamond" w:hAnsi="Garamond"/>
                <w:sz w:val="22"/>
                <w:lang w:val="nl-NL"/>
              </w:rPr>
              <w:t xml:space="preserve"> </w:t>
            </w:r>
            <w:r w:rsidR="00C9542E">
              <w:rPr>
                <w:rFonts w:ascii="Garamond" w:hAnsi="Garamond"/>
                <w:sz w:val="22"/>
                <w:lang w:val="nl-NL"/>
              </w:rPr>
              <w:t>kan d</w:t>
            </w:r>
            <w:r w:rsidR="009C118B" w:rsidRPr="009C118B">
              <w:rPr>
                <w:rFonts w:ascii="Garamond" w:hAnsi="Garamond"/>
                <w:sz w:val="22"/>
                <w:lang w:val="nl-NL"/>
              </w:rPr>
              <w:t xml:space="preserve">e </w:t>
            </w:r>
            <w:r w:rsidR="009C118B">
              <w:rPr>
                <w:rFonts w:ascii="Garamond" w:hAnsi="Garamond"/>
                <w:sz w:val="22"/>
                <w:lang w:val="nl-NL"/>
              </w:rPr>
              <w:t>D</w:t>
            </w:r>
            <w:r w:rsidR="009C118B" w:rsidRPr="009C118B">
              <w:rPr>
                <w:rFonts w:ascii="Garamond" w:hAnsi="Garamond"/>
                <w:sz w:val="22"/>
                <w:lang w:val="nl-NL"/>
              </w:rPr>
              <w:t xml:space="preserve">ienst de </w:t>
            </w:r>
            <w:r w:rsidR="009C118B">
              <w:rPr>
                <w:rFonts w:ascii="Garamond" w:hAnsi="Garamond"/>
                <w:sz w:val="22"/>
                <w:lang w:val="nl-NL"/>
              </w:rPr>
              <w:t>operator</w:t>
            </w:r>
            <w:r w:rsidR="009C118B" w:rsidRPr="009C118B">
              <w:rPr>
                <w:rFonts w:ascii="Garamond" w:hAnsi="Garamond"/>
                <w:sz w:val="22"/>
                <w:lang w:val="nl-NL"/>
              </w:rPr>
              <w:t xml:space="preserve"> of de persoon die de bijwerking heeft gemeld om aanvullende informatie verzoeken om nauwkeurige en verifieerbare informatie te verkrijgen voor de wetenschappelijke evaluatie van de meldingen van vermoedelijke bijwerkingen;</w:t>
            </w:r>
          </w:p>
          <w:p w14:paraId="7720EA0C" w14:textId="032CA14D" w:rsidR="009C118B" w:rsidRPr="009C118B" w:rsidRDefault="00550B34" w:rsidP="009C118B">
            <w:pPr>
              <w:autoSpaceDE w:val="0"/>
              <w:autoSpaceDN w:val="0"/>
              <w:adjustRightInd w:val="0"/>
              <w:jc w:val="both"/>
              <w:rPr>
                <w:rFonts w:ascii="Garamond" w:hAnsi="Garamond"/>
                <w:sz w:val="22"/>
                <w:lang w:val="nl-NL"/>
              </w:rPr>
            </w:pPr>
            <w:r>
              <w:rPr>
                <w:rFonts w:ascii="Garamond" w:hAnsi="Garamond"/>
                <w:sz w:val="22"/>
                <w:lang w:val="nl-NL"/>
              </w:rPr>
              <w:t>2°</w:t>
            </w:r>
            <w:r w:rsidR="009C118B" w:rsidRPr="009C118B">
              <w:rPr>
                <w:rFonts w:ascii="Garamond" w:hAnsi="Garamond"/>
                <w:sz w:val="22"/>
                <w:lang w:val="nl-NL"/>
              </w:rPr>
              <w:t xml:space="preserve"> </w:t>
            </w:r>
            <w:r w:rsidR="00C9542E">
              <w:rPr>
                <w:rFonts w:ascii="Garamond" w:hAnsi="Garamond"/>
                <w:sz w:val="22"/>
                <w:lang w:val="nl-NL"/>
              </w:rPr>
              <w:t>analyseert d</w:t>
            </w:r>
            <w:r w:rsidR="009C118B" w:rsidRPr="009C118B">
              <w:rPr>
                <w:rFonts w:ascii="Garamond" w:hAnsi="Garamond"/>
                <w:sz w:val="22"/>
                <w:lang w:val="nl-NL"/>
              </w:rPr>
              <w:t xml:space="preserve">e </w:t>
            </w:r>
            <w:r w:rsidR="009C118B">
              <w:rPr>
                <w:rFonts w:ascii="Garamond" w:hAnsi="Garamond"/>
                <w:sz w:val="22"/>
                <w:lang w:val="nl-NL"/>
              </w:rPr>
              <w:t>D</w:t>
            </w:r>
            <w:r w:rsidR="009C118B" w:rsidRPr="009C118B">
              <w:rPr>
                <w:rFonts w:ascii="Garamond" w:hAnsi="Garamond"/>
                <w:sz w:val="22"/>
                <w:lang w:val="nl-NL"/>
              </w:rPr>
              <w:t>ienst de gevallen in samenwerking met de Commissie;</w:t>
            </w:r>
          </w:p>
          <w:p w14:paraId="44BFD767" w14:textId="19ECBC0A" w:rsidR="009C118B" w:rsidRPr="009C118B" w:rsidRDefault="00550B34" w:rsidP="009C118B">
            <w:pPr>
              <w:autoSpaceDE w:val="0"/>
              <w:autoSpaceDN w:val="0"/>
              <w:adjustRightInd w:val="0"/>
              <w:jc w:val="both"/>
              <w:rPr>
                <w:rFonts w:ascii="Garamond" w:hAnsi="Garamond"/>
                <w:sz w:val="22"/>
                <w:lang w:val="nl-NL"/>
              </w:rPr>
            </w:pPr>
            <w:r>
              <w:rPr>
                <w:rFonts w:ascii="Garamond" w:hAnsi="Garamond"/>
                <w:sz w:val="22"/>
                <w:lang w:val="nl-NL"/>
              </w:rPr>
              <w:lastRenderedPageBreak/>
              <w:t>3°</w:t>
            </w:r>
            <w:r w:rsidR="009C118B" w:rsidRPr="009C118B">
              <w:rPr>
                <w:rFonts w:ascii="Garamond" w:hAnsi="Garamond"/>
                <w:sz w:val="22"/>
                <w:lang w:val="nl-NL"/>
              </w:rPr>
              <w:t xml:space="preserve"> </w:t>
            </w:r>
            <w:r w:rsidR="00C9542E">
              <w:rPr>
                <w:rFonts w:ascii="Garamond" w:hAnsi="Garamond"/>
                <w:sz w:val="22"/>
                <w:lang w:val="nl-NL"/>
              </w:rPr>
              <w:t>kan d</w:t>
            </w:r>
            <w:r w:rsidR="009C118B" w:rsidRPr="009C118B">
              <w:rPr>
                <w:rFonts w:ascii="Garamond" w:hAnsi="Garamond"/>
                <w:sz w:val="22"/>
                <w:lang w:val="nl-NL"/>
              </w:rPr>
              <w:t xml:space="preserve">e </w:t>
            </w:r>
            <w:r w:rsidR="009C118B">
              <w:rPr>
                <w:rFonts w:ascii="Garamond" w:hAnsi="Garamond"/>
                <w:sz w:val="22"/>
                <w:lang w:val="nl-NL"/>
              </w:rPr>
              <w:t>D</w:t>
            </w:r>
            <w:r w:rsidR="009C118B" w:rsidRPr="009C118B">
              <w:rPr>
                <w:rFonts w:ascii="Garamond" w:hAnsi="Garamond"/>
                <w:sz w:val="22"/>
                <w:lang w:val="nl-NL"/>
              </w:rPr>
              <w:t xml:space="preserve">ienst </w:t>
            </w:r>
            <w:r w:rsidR="004078BB">
              <w:rPr>
                <w:rFonts w:ascii="Garamond" w:hAnsi="Garamond"/>
                <w:sz w:val="22"/>
                <w:lang w:val="nl-NL"/>
              </w:rPr>
              <w:t>aan het Hoge Gezondheidsraad of aan het F</w:t>
            </w:r>
            <w:r w:rsidR="00091CAF">
              <w:rPr>
                <w:rFonts w:ascii="Garamond" w:hAnsi="Garamond"/>
                <w:sz w:val="22"/>
                <w:lang w:val="nl-NL"/>
              </w:rPr>
              <w:t xml:space="preserve">ederaal </w:t>
            </w:r>
            <w:r w:rsidR="004078BB">
              <w:rPr>
                <w:rFonts w:ascii="Garamond" w:hAnsi="Garamond"/>
                <w:sz w:val="22"/>
                <w:lang w:val="nl-NL"/>
              </w:rPr>
              <w:t>A</w:t>
            </w:r>
            <w:r w:rsidR="00091CAF">
              <w:rPr>
                <w:rFonts w:ascii="Garamond" w:hAnsi="Garamond"/>
                <w:sz w:val="22"/>
                <w:lang w:val="nl-NL"/>
              </w:rPr>
              <w:t xml:space="preserve">gentschap voor </w:t>
            </w:r>
            <w:r w:rsidR="004078BB">
              <w:rPr>
                <w:rFonts w:ascii="Garamond" w:hAnsi="Garamond"/>
                <w:sz w:val="22"/>
                <w:lang w:val="nl-NL"/>
              </w:rPr>
              <w:t>G</w:t>
            </w:r>
            <w:r w:rsidR="00091CAF">
              <w:rPr>
                <w:rFonts w:ascii="Garamond" w:hAnsi="Garamond"/>
                <w:sz w:val="22"/>
                <w:lang w:val="nl-NL"/>
              </w:rPr>
              <w:t xml:space="preserve">eneesmiddelen en </w:t>
            </w:r>
            <w:r w:rsidR="004078BB">
              <w:rPr>
                <w:rFonts w:ascii="Garamond" w:hAnsi="Garamond"/>
                <w:sz w:val="22"/>
                <w:lang w:val="nl-NL"/>
              </w:rPr>
              <w:t>G</w:t>
            </w:r>
            <w:r w:rsidR="00091CAF">
              <w:rPr>
                <w:rFonts w:ascii="Garamond" w:hAnsi="Garamond"/>
                <w:sz w:val="22"/>
                <w:lang w:val="nl-NL"/>
              </w:rPr>
              <w:t>ezondsproducten</w:t>
            </w:r>
            <w:r w:rsidR="009C118B" w:rsidRPr="009C118B">
              <w:rPr>
                <w:rFonts w:ascii="Garamond" w:hAnsi="Garamond"/>
                <w:sz w:val="22"/>
                <w:lang w:val="nl-NL"/>
              </w:rPr>
              <w:t xml:space="preserve"> om aanvullende beoordelingen verzoeken;</w:t>
            </w:r>
          </w:p>
          <w:p w14:paraId="7B70263A" w14:textId="5AAB93F5" w:rsidR="009C118B" w:rsidRPr="009C118B" w:rsidRDefault="00550B34" w:rsidP="009C118B">
            <w:pPr>
              <w:autoSpaceDE w:val="0"/>
              <w:autoSpaceDN w:val="0"/>
              <w:adjustRightInd w:val="0"/>
              <w:jc w:val="both"/>
              <w:rPr>
                <w:rFonts w:ascii="Garamond" w:hAnsi="Garamond"/>
                <w:sz w:val="22"/>
                <w:lang w:val="nl-NL"/>
              </w:rPr>
            </w:pPr>
            <w:r>
              <w:rPr>
                <w:rFonts w:ascii="Garamond" w:hAnsi="Garamond"/>
                <w:sz w:val="22"/>
                <w:lang w:val="nl-NL"/>
              </w:rPr>
              <w:t>4°</w:t>
            </w:r>
            <w:r w:rsidR="009C118B" w:rsidRPr="009C118B">
              <w:rPr>
                <w:rFonts w:ascii="Garamond" w:hAnsi="Garamond"/>
                <w:sz w:val="22"/>
                <w:lang w:val="nl-NL"/>
              </w:rPr>
              <w:t xml:space="preserve"> </w:t>
            </w:r>
            <w:r w:rsidR="00C9542E">
              <w:rPr>
                <w:rFonts w:ascii="Garamond" w:hAnsi="Garamond"/>
                <w:sz w:val="22"/>
                <w:lang w:val="nl-NL"/>
              </w:rPr>
              <w:t>d</w:t>
            </w:r>
            <w:r w:rsidR="009C118B" w:rsidRPr="009C118B">
              <w:rPr>
                <w:rFonts w:ascii="Garamond" w:hAnsi="Garamond"/>
                <w:sz w:val="22"/>
                <w:lang w:val="nl-NL"/>
              </w:rPr>
              <w:t xml:space="preserve">e </w:t>
            </w:r>
            <w:r w:rsidR="009C118B">
              <w:rPr>
                <w:rFonts w:ascii="Garamond" w:hAnsi="Garamond"/>
                <w:sz w:val="22"/>
                <w:lang w:val="nl-NL"/>
              </w:rPr>
              <w:t>D</w:t>
            </w:r>
            <w:r w:rsidR="009C118B" w:rsidRPr="009C118B">
              <w:rPr>
                <w:rFonts w:ascii="Garamond" w:hAnsi="Garamond"/>
                <w:sz w:val="22"/>
                <w:lang w:val="nl-NL"/>
              </w:rPr>
              <w:t xml:space="preserve">ienst stelt jaarlijks statistieken op over het nutrivigilantiesysteem en legt deze voor aan de Adviesraad </w:t>
            </w:r>
            <w:r w:rsidR="005A48A2">
              <w:rPr>
                <w:rFonts w:ascii="Garamond" w:hAnsi="Garamond"/>
                <w:sz w:val="22"/>
                <w:lang w:val="nl-NL"/>
              </w:rPr>
              <w:t>inzake</w:t>
            </w:r>
            <w:r w:rsidR="009C118B" w:rsidRPr="009C118B">
              <w:rPr>
                <w:rFonts w:ascii="Garamond" w:hAnsi="Garamond"/>
                <w:sz w:val="22"/>
                <w:lang w:val="nl-NL"/>
              </w:rPr>
              <w:t xml:space="preserve"> voedselbeleid en gebruik van andere consumentenproducten.</w:t>
            </w:r>
          </w:p>
          <w:p w14:paraId="18777802" w14:textId="77777777" w:rsidR="009C118B" w:rsidRPr="009C118B" w:rsidRDefault="009C118B" w:rsidP="009C118B">
            <w:pPr>
              <w:autoSpaceDE w:val="0"/>
              <w:autoSpaceDN w:val="0"/>
              <w:adjustRightInd w:val="0"/>
              <w:jc w:val="both"/>
              <w:rPr>
                <w:rFonts w:ascii="Garamond" w:hAnsi="Garamond"/>
                <w:sz w:val="22"/>
                <w:lang w:val="nl-NL"/>
              </w:rPr>
            </w:pPr>
          </w:p>
          <w:p w14:paraId="6C301A56" w14:textId="3296229C" w:rsidR="001B0E47" w:rsidRPr="00665F3C" w:rsidRDefault="009C118B" w:rsidP="00B5235E">
            <w:pPr>
              <w:autoSpaceDE w:val="0"/>
              <w:autoSpaceDN w:val="0"/>
              <w:adjustRightInd w:val="0"/>
              <w:jc w:val="both"/>
              <w:rPr>
                <w:rFonts w:ascii="Garamond" w:hAnsi="Garamond"/>
                <w:bCs/>
                <w:sz w:val="22"/>
                <w:lang w:val="nl-NL"/>
              </w:rPr>
            </w:pPr>
            <w:r w:rsidRPr="009C118B">
              <w:rPr>
                <w:rFonts w:ascii="Garamond" w:hAnsi="Garamond"/>
                <w:sz w:val="22"/>
                <w:lang w:val="nl-NL"/>
              </w:rPr>
              <w:t>§2</w:t>
            </w:r>
            <w:r>
              <w:rPr>
                <w:rFonts w:ascii="Garamond" w:hAnsi="Garamond"/>
                <w:sz w:val="22"/>
                <w:lang w:val="nl-NL"/>
              </w:rPr>
              <w:t>.</w:t>
            </w:r>
            <w:r w:rsidRPr="009C118B">
              <w:rPr>
                <w:rFonts w:ascii="Garamond" w:hAnsi="Garamond"/>
                <w:sz w:val="22"/>
                <w:lang w:val="nl-NL"/>
              </w:rPr>
              <w:t xml:space="preserve"> Als de </w:t>
            </w:r>
            <w:r>
              <w:rPr>
                <w:rFonts w:ascii="Garamond" w:hAnsi="Garamond"/>
                <w:sz w:val="22"/>
                <w:lang w:val="nl-NL"/>
              </w:rPr>
              <w:t>operator</w:t>
            </w:r>
            <w:r w:rsidRPr="009C118B">
              <w:rPr>
                <w:rFonts w:ascii="Garamond" w:hAnsi="Garamond"/>
                <w:sz w:val="22"/>
                <w:lang w:val="nl-NL"/>
              </w:rPr>
              <w:t xml:space="preserve"> naar aanleiding van een bijwerking corrigerende maatregelen neemt, moet hij de </w:t>
            </w:r>
            <w:r>
              <w:rPr>
                <w:rFonts w:ascii="Garamond" w:hAnsi="Garamond"/>
                <w:sz w:val="22"/>
                <w:lang w:val="nl-NL"/>
              </w:rPr>
              <w:t>D</w:t>
            </w:r>
            <w:r w:rsidRPr="009C118B">
              <w:rPr>
                <w:rFonts w:ascii="Garamond" w:hAnsi="Garamond"/>
                <w:sz w:val="22"/>
                <w:lang w:val="nl-NL"/>
              </w:rPr>
              <w:t>ienst daarvan in kennis stellen.</w:t>
            </w:r>
          </w:p>
        </w:tc>
      </w:tr>
      <w:tr w:rsidR="001B0E47" w:rsidRPr="004E5F07" w14:paraId="7A720742" w14:textId="77777777" w:rsidTr="0013508B">
        <w:tc>
          <w:tcPr>
            <w:tcW w:w="4496" w:type="dxa"/>
            <w:tcBorders>
              <w:top w:val="nil"/>
              <w:left w:val="nil"/>
              <w:bottom w:val="nil"/>
              <w:right w:val="nil"/>
            </w:tcBorders>
          </w:tcPr>
          <w:p w14:paraId="759C61B6" w14:textId="7FD98EC0" w:rsidR="001B0E47" w:rsidRPr="00665F3C" w:rsidRDefault="001B0E47" w:rsidP="001B0E47">
            <w:pPr>
              <w:tabs>
                <w:tab w:val="left" w:pos="567"/>
                <w:tab w:val="left" w:pos="2268"/>
              </w:tabs>
              <w:jc w:val="both"/>
              <w:rPr>
                <w:rFonts w:ascii="Garamond" w:hAnsi="Garamond"/>
                <w:b/>
                <w:sz w:val="22"/>
                <w:lang w:val="nl-NL"/>
              </w:rPr>
            </w:pPr>
          </w:p>
        </w:tc>
        <w:tc>
          <w:tcPr>
            <w:tcW w:w="324" w:type="dxa"/>
            <w:tcBorders>
              <w:top w:val="nil"/>
              <w:left w:val="nil"/>
              <w:bottom w:val="nil"/>
              <w:right w:val="nil"/>
            </w:tcBorders>
          </w:tcPr>
          <w:p w14:paraId="0B5D70D1" w14:textId="77777777" w:rsidR="001B0E47" w:rsidRPr="00665F3C" w:rsidRDefault="001B0E47" w:rsidP="001B0E47">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1ABDB268" w14:textId="77777777" w:rsidR="001B0E47" w:rsidRPr="00665F3C" w:rsidRDefault="001B0E47" w:rsidP="001B0E47">
            <w:pPr>
              <w:tabs>
                <w:tab w:val="left" w:pos="2410"/>
              </w:tabs>
              <w:jc w:val="both"/>
              <w:rPr>
                <w:rFonts w:ascii="Garamond" w:hAnsi="Garamond"/>
                <w:b/>
                <w:sz w:val="22"/>
                <w:lang w:val="nl-NL"/>
              </w:rPr>
            </w:pPr>
          </w:p>
        </w:tc>
      </w:tr>
      <w:tr w:rsidR="001B0E47" w:rsidRPr="004E5F07" w14:paraId="228E8E16" w14:textId="77777777" w:rsidTr="0013508B">
        <w:tc>
          <w:tcPr>
            <w:tcW w:w="4496" w:type="dxa"/>
            <w:tcBorders>
              <w:top w:val="nil"/>
              <w:left w:val="nil"/>
              <w:bottom w:val="nil"/>
              <w:right w:val="nil"/>
            </w:tcBorders>
          </w:tcPr>
          <w:p w14:paraId="492648A1" w14:textId="77777777" w:rsidR="001B0E47" w:rsidRPr="006A6FA6" w:rsidRDefault="001B0E47" w:rsidP="001B0E47">
            <w:pPr>
              <w:tabs>
                <w:tab w:val="left" w:pos="356"/>
                <w:tab w:val="left" w:pos="567"/>
                <w:tab w:val="left" w:pos="2268"/>
              </w:tabs>
              <w:jc w:val="both"/>
              <w:rPr>
                <w:rFonts w:ascii="Garamond" w:hAnsi="Garamond"/>
                <w:sz w:val="22"/>
                <w:lang w:val="nl-NL"/>
              </w:rPr>
            </w:pPr>
          </w:p>
        </w:tc>
        <w:tc>
          <w:tcPr>
            <w:tcW w:w="324" w:type="dxa"/>
            <w:tcBorders>
              <w:top w:val="nil"/>
              <w:left w:val="nil"/>
              <w:bottom w:val="nil"/>
              <w:right w:val="nil"/>
            </w:tcBorders>
          </w:tcPr>
          <w:p w14:paraId="5CBD31E9" w14:textId="77777777" w:rsidR="001B0E47" w:rsidRPr="006A6FA6" w:rsidRDefault="001B0E47" w:rsidP="001B0E47">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6130A749" w14:textId="77777777" w:rsidR="001B0E47" w:rsidRPr="006A6FA6" w:rsidRDefault="001B0E47" w:rsidP="001B0E47">
            <w:pPr>
              <w:tabs>
                <w:tab w:val="left" w:pos="356"/>
                <w:tab w:val="left" w:pos="567"/>
                <w:tab w:val="left" w:pos="2268"/>
              </w:tabs>
              <w:jc w:val="both"/>
              <w:rPr>
                <w:rFonts w:ascii="Garamond" w:hAnsi="Garamond"/>
                <w:b/>
                <w:sz w:val="22"/>
                <w:highlight w:val="yellow"/>
                <w:lang w:val="nl-NL"/>
              </w:rPr>
            </w:pPr>
          </w:p>
        </w:tc>
      </w:tr>
      <w:tr w:rsidR="001B0E47" w:rsidRPr="004E5F07" w14:paraId="4AA65558" w14:textId="77777777" w:rsidTr="0013508B">
        <w:tc>
          <w:tcPr>
            <w:tcW w:w="4496" w:type="dxa"/>
            <w:tcBorders>
              <w:top w:val="nil"/>
              <w:left w:val="nil"/>
              <w:bottom w:val="nil"/>
              <w:right w:val="nil"/>
            </w:tcBorders>
          </w:tcPr>
          <w:p w14:paraId="176B39EA" w14:textId="77777777" w:rsidR="00550B34" w:rsidRPr="00191D20" w:rsidRDefault="00550B34" w:rsidP="001B0E47">
            <w:pPr>
              <w:tabs>
                <w:tab w:val="left" w:pos="356"/>
                <w:tab w:val="left" w:pos="2268"/>
              </w:tabs>
              <w:jc w:val="both"/>
              <w:rPr>
                <w:rFonts w:ascii="Garamond" w:hAnsi="Garamond"/>
                <w:b/>
                <w:sz w:val="22"/>
                <w:lang w:val="nl-BE"/>
              </w:rPr>
            </w:pPr>
          </w:p>
          <w:p w14:paraId="25A57DEB" w14:textId="77777777" w:rsidR="00550B34" w:rsidRPr="00191D20" w:rsidRDefault="00550B34" w:rsidP="001B0E47">
            <w:pPr>
              <w:tabs>
                <w:tab w:val="left" w:pos="356"/>
                <w:tab w:val="left" w:pos="2268"/>
              </w:tabs>
              <w:jc w:val="both"/>
              <w:rPr>
                <w:rFonts w:ascii="Garamond" w:hAnsi="Garamond"/>
                <w:b/>
                <w:sz w:val="22"/>
                <w:lang w:val="nl-BE"/>
              </w:rPr>
            </w:pPr>
          </w:p>
          <w:p w14:paraId="1C382794" w14:textId="77777777" w:rsidR="00550B34" w:rsidRPr="00191D20" w:rsidRDefault="00550B34" w:rsidP="001B0E47">
            <w:pPr>
              <w:tabs>
                <w:tab w:val="left" w:pos="356"/>
                <w:tab w:val="left" w:pos="2268"/>
              </w:tabs>
              <w:jc w:val="both"/>
              <w:rPr>
                <w:rFonts w:ascii="Garamond" w:hAnsi="Garamond"/>
                <w:b/>
                <w:sz w:val="22"/>
                <w:lang w:val="nl-BE"/>
              </w:rPr>
            </w:pPr>
          </w:p>
          <w:p w14:paraId="5B260B64" w14:textId="77777777" w:rsidR="00550B34" w:rsidRPr="00191D20" w:rsidRDefault="00550B34" w:rsidP="001B0E47">
            <w:pPr>
              <w:tabs>
                <w:tab w:val="left" w:pos="356"/>
                <w:tab w:val="left" w:pos="2268"/>
              </w:tabs>
              <w:jc w:val="both"/>
              <w:rPr>
                <w:rFonts w:ascii="Garamond" w:hAnsi="Garamond"/>
                <w:b/>
                <w:sz w:val="22"/>
                <w:lang w:val="nl-BE"/>
              </w:rPr>
            </w:pPr>
          </w:p>
          <w:p w14:paraId="73F9ECE2" w14:textId="77777777" w:rsidR="00550B34" w:rsidRPr="00191D20" w:rsidRDefault="00550B34" w:rsidP="001B0E47">
            <w:pPr>
              <w:tabs>
                <w:tab w:val="left" w:pos="356"/>
                <w:tab w:val="left" w:pos="2268"/>
              </w:tabs>
              <w:jc w:val="both"/>
              <w:rPr>
                <w:rFonts w:ascii="Garamond" w:hAnsi="Garamond"/>
                <w:b/>
                <w:sz w:val="22"/>
                <w:lang w:val="nl-BE"/>
              </w:rPr>
            </w:pPr>
          </w:p>
          <w:p w14:paraId="13EBB24B" w14:textId="77777777" w:rsidR="00550B34" w:rsidRPr="00191D20" w:rsidRDefault="00550B34" w:rsidP="001B0E47">
            <w:pPr>
              <w:tabs>
                <w:tab w:val="left" w:pos="356"/>
                <w:tab w:val="left" w:pos="2268"/>
              </w:tabs>
              <w:jc w:val="both"/>
              <w:rPr>
                <w:rFonts w:ascii="Garamond" w:hAnsi="Garamond"/>
                <w:b/>
                <w:sz w:val="22"/>
                <w:lang w:val="nl-BE"/>
              </w:rPr>
            </w:pPr>
          </w:p>
          <w:p w14:paraId="772403A8" w14:textId="77777777" w:rsidR="00550B34" w:rsidRPr="00191D20" w:rsidRDefault="00550B34" w:rsidP="001B0E47">
            <w:pPr>
              <w:tabs>
                <w:tab w:val="left" w:pos="356"/>
                <w:tab w:val="left" w:pos="2268"/>
              </w:tabs>
              <w:jc w:val="both"/>
              <w:rPr>
                <w:rFonts w:ascii="Garamond" w:hAnsi="Garamond"/>
                <w:b/>
                <w:sz w:val="22"/>
                <w:lang w:val="nl-BE"/>
              </w:rPr>
            </w:pPr>
          </w:p>
          <w:p w14:paraId="69C379CC" w14:textId="77777777" w:rsidR="00550B34" w:rsidRPr="00191D20" w:rsidRDefault="00550B34" w:rsidP="001B0E47">
            <w:pPr>
              <w:tabs>
                <w:tab w:val="left" w:pos="356"/>
                <w:tab w:val="left" w:pos="2268"/>
              </w:tabs>
              <w:jc w:val="both"/>
              <w:rPr>
                <w:rFonts w:ascii="Garamond" w:hAnsi="Garamond"/>
                <w:b/>
                <w:sz w:val="22"/>
                <w:lang w:val="nl-BE"/>
              </w:rPr>
            </w:pPr>
          </w:p>
          <w:p w14:paraId="121A68BD" w14:textId="77777777" w:rsidR="00550B34" w:rsidRPr="00191D20" w:rsidRDefault="00550B34" w:rsidP="001B0E47">
            <w:pPr>
              <w:tabs>
                <w:tab w:val="left" w:pos="356"/>
                <w:tab w:val="left" w:pos="2268"/>
              </w:tabs>
              <w:jc w:val="both"/>
              <w:rPr>
                <w:rFonts w:ascii="Garamond" w:hAnsi="Garamond"/>
                <w:b/>
                <w:sz w:val="22"/>
                <w:lang w:val="nl-BE"/>
              </w:rPr>
            </w:pPr>
          </w:p>
          <w:p w14:paraId="5FF608A4" w14:textId="77777777" w:rsidR="00550B34" w:rsidRPr="00191D20" w:rsidRDefault="00550B34" w:rsidP="001B0E47">
            <w:pPr>
              <w:tabs>
                <w:tab w:val="left" w:pos="356"/>
                <w:tab w:val="left" w:pos="2268"/>
              </w:tabs>
              <w:jc w:val="both"/>
              <w:rPr>
                <w:rFonts w:ascii="Garamond" w:hAnsi="Garamond"/>
                <w:b/>
                <w:sz w:val="22"/>
                <w:lang w:val="nl-BE"/>
              </w:rPr>
            </w:pPr>
          </w:p>
          <w:p w14:paraId="7B95A8EB" w14:textId="77777777" w:rsidR="00550B34" w:rsidRPr="00191D20" w:rsidRDefault="00550B34" w:rsidP="001B0E47">
            <w:pPr>
              <w:tabs>
                <w:tab w:val="left" w:pos="356"/>
                <w:tab w:val="left" w:pos="2268"/>
              </w:tabs>
              <w:jc w:val="both"/>
              <w:rPr>
                <w:rFonts w:ascii="Garamond" w:hAnsi="Garamond"/>
                <w:b/>
                <w:sz w:val="22"/>
                <w:lang w:val="nl-BE"/>
              </w:rPr>
            </w:pPr>
          </w:p>
          <w:p w14:paraId="7E9C5BB3" w14:textId="77777777" w:rsidR="00550B34" w:rsidRPr="00191D20" w:rsidRDefault="00550B34" w:rsidP="001B0E47">
            <w:pPr>
              <w:tabs>
                <w:tab w:val="left" w:pos="356"/>
                <w:tab w:val="left" w:pos="2268"/>
              </w:tabs>
              <w:jc w:val="both"/>
              <w:rPr>
                <w:rFonts w:ascii="Garamond" w:hAnsi="Garamond"/>
                <w:b/>
                <w:sz w:val="22"/>
                <w:lang w:val="nl-BE"/>
              </w:rPr>
            </w:pPr>
          </w:p>
          <w:p w14:paraId="21024A0A" w14:textId="77777777" w:rsidR="00550B34" w:rsidRPr="00191D20" w:rsidRDefault="00550B34" w:rsidP="001B0E47">
            <w:pPr>
              <w:tabs>
                <w:tab w:val="left" w:pos="356"/>
                <w:tab w:val="left" w:pos="2268"/>
              </w:tabs>
              <w:jc w:val="both"/>
              <w:rPr>
                <w:rFonts w:ascii="Garamond" w:hAnsi="Garamond"/>
                <w:b/>
                <w:sz w:val="22"/>
                <w:lang w:val="nl-BE"/>
              </w:rPr>
            </w:pPr>
          </w:p>
          <w:p w14:paraId="5E8CAA12" w14:textId="77777777" w:rsidR="00550B34" w:rsidRPr="00191D20" w:rsidRDefault="00550B34" w:rsidP="001B0E47">
            <w:pPr>
              <w:tabs>
                <w:tab w:val="left" w:pos="356"/>
                <w:tab w:val="left" w:pos="2268"/>
              </w:tabs>
              <w:jc w:val="both"/>
              <w:rPr>
                <w:rFonts w:ascii="Garamond" w:hAnsi="Garamond"/>
                <w:b/>
                <w:sz w:val="22"/>
                <w:lang w:val="nl-BE"/>
              </w:rPr>
            </w:pPr>
          </w:p>
          <w:p w14:paraId="2ED23EFE" w14:textId="77777777" w:rsidR="00550B34" w:rsidRPr="00191D20" w:rsidRDefault="00550B34" w:rsidP="001B0E47">
            <w:pPr>
              <w:tabs>
                <w:tab w:val="left" w:pos="356"/>
                <w:tab w:val="left" w:pos="2268"/>
              </w:tabs>
              <w:jc w:val="both"/>
              <w:rPr>
                <w:rFonts w:ascii="Garamond" w:hAnsi="Garamond"/>
                <w:b/>
                <w:sz w:val="22"/>
                <w:lang w:val="nl-BE"/>
              </w:rPr>
            </w:pPr>
          </w:p>
          <w:p w14:paraId="456779C3" w14:textId="77777777" w:rsidR="00550B34" w:rsidRPr="00191D20" w:rsidRDefault="00550B34" w:rsidP="001B0E47">
            <w:pPr>
              <w:tabs>
                <w:tab w:val="left" w:pos="356"/>
                <w:tab w:val="left" w:pos="2268"/>
              </w:tabs>
              <w:jc w:val="both"/>
              <w:rPr>
                <w:rFonts w:ascii="Garamond" w:hAnsi="Garamond"/>
                <w:b/>
                <w:sz w:val="22"/>
                <w:lang w:val="nl-BE"/>
              </w:rPr>
            </w:pPr>
          </w:p>
          <w:p w14:paraId="62D3A2B1" w14:textId="77777777" w:rsidR="00550B34" w:rsidRPr="00191D20" w:rsidRDefault="00550B34" w:rsidP="001B0E47">
            <w:pPr>
              <w:tabs>
                <w:tab w:val="left" w:pos="356"/>
                <w:tab w:val="left" w:pos="2268"/>
              </w:tabs>
              <w:jc w:val="both"/>
              <w:rPr>
                <w:rFonts w:ascii="Garamond" w:hAnsi="Garamond"/>
                <w:b/>
                <w:sz w:val="22"/>
                <w:lang w:val="nl-BE"/>
              </w:rPr>
            </w:pPr>
          </w:p>
          <w:p w14:paraId="059246AF" w14:textId="77777777" w:rsidR="00550B34" w:rsidRPr="00191D20" w:rsidRDefault="00550B34" w:rsidP="001B0E47">
            <w:pPr>
              <w:tabs>
                <w:tab w:val="left" w:pos="356"/>
                <w:tab w:val="left" w:pos="2268"/>
              </w:tabs>
              <w:jc w:val="both"/>
              <w:rPr>
                <w:rFonts w:ascii="Garamond" w:hAnsi="Garamond"/>
                <w:b/>
                <w:sz w:val="22"/>
                <w:lang w:val="nl-BE"/>
              </w:rPr>
            </w:pPr>
          </w:p>
          <w:p w14:paraId="587A414A" w14:textId="503CF216" w:rsidR="00550B34" w:rsidRDefault="00550B34" w:rsidP="001B0E47">
            <w:pPr>
              <w:tabs>
                <w:tab w:val="left" w:pos="356"/>
                <w:tab w:val="left" w:pos="2268"/>
              </w:tabs>
              <w:jc w:val="both"/>
              <w:rPr>
                <w:rFonts w:ascii="Garamond" w:hAnsi="Garamond"/>
                <w:b/>
                <w:sz w:val="22"/>
                <w:lang w:val="nl-BE"/>
              </w:rPr>
            </w:pPr>
          </w:p>
          <w:p w14:paraId="4D201095" w14:textId="6228FA38" w:rsidR="00FF4539" w:rsidRDefault="00FF4539" w:rsidP="001B0E47">
            <w:pPr>
              <w:tabs>
                <w:tab w:val="left" w:pos="356"/>
                <w:tab w:val="left" w:pos="2268"/>
              </w:tabs>
              <w:jc w:val="both"/>
              <w:rPr>
                <w:rFonts w:ascii="Garamond" w:hAnsi="Garamond"/>
                <w:b/>
                <w:sz w:val="22"/>
                <w:lang w:val="nl-BE"/>
              </w:rPr>
            </w:pPr>
          </w:p>
          <w:p w14:paraId="59142B3B" w14:textId="75CB5E0E" w:rsidR="00FF4539" w:rsidRDefault="00FF4539" w:rsidP="001B0E47">
            <w:pPr>
              <w:tabs>
                <w:tab w:val="left" w:pos="356"/>
                <w:tab w:val="left" w:pos="2268"/>
              </w:tabs>
              <w:jc w:val="both"/>
              <w:rPr>
                <w:rFonts w:ascii="Garamond" w:hAnsi="Garamond"/>
                <w:b/>
                <w:sz w:val="22"/>
                <w:lang w:val="nl-BE"/>
              </w:rPr>
            </w:pPr>
          </w:p>
          <w:p w14:paraId="15E4474F" w14:textId="71905DDD" w:rsidR="00FF4539" w:rsidRDefault="00FF4539" w:rsidP="001B0E47">
            <w:pPr>
              <w:tabs>
                <w:tab w:val="left" w:pos="356"/>
                <w:tab w:val="left" w:pos="2268"/>
              </w:tabs>
              <w:jc w:val="both"/>
              <w:rPr>
                <w:rFonts w:ascii="Garamond" w:hAnsi="Garamond"/>
                <w:b/>
                <w:sz w:val="22"/>
                <w:lang w:val="nl-BE"/>
              </w:rPr>
            </w:pPr>
          </w:p>
          <w:p w14:paraId="4A6DE204" w14:textId="7484A1AB" w:rsidR="00FF4539" w:rsidRDefault="00FF4539" w:rsidP="001B0E47">
            <w:pPr>
              <w:tabs>
                <w:tab w:val="left" w:pos="356"/>
                <w:tab w:val="left" w:pos="2268"/>
              </w:tabs>
              <w:jc w:val="both"/>
              <w:rPr>
                <w:rFonts w:ascii="Garamond" w:hAnsi="Garamond"/>
                <w:b/>
                <w:sz w:val="22"/>
                <w:lang w:val="nl-BE"/>
              </w:rPr>
            </w:pPr>
          </w:p>
          <w:p w14:paraId="1F3B24BE" w14:textId="3AFD5E2C" w:rsidR="00FF4539" w:rsidRDefault="00FF4539" w:rsidP="001B0E47">
            <w:pPr>
              <w:tabs>
                <w:tab w:val="left" w:pos="356"/>
                <w:tab w:val="left" w:pos="2268"/>
              </w:tabs>
              <w:jc w:val="both"/>
              <w:rPr>
                <w:rFonts w:ascii="Garamond" w:hAnsi="Garamond"/>
                <w:b/>
                <w:sz w:val="22"/>
                <w:lang w:val="nl-BE"/>
              </w:rPr>
            </w:pPr>
          </w:p>
          <w:p w14:paraId="25128CF6" w14:textId="53B67E13" w:rsidR="00FF4539" w:rsidRDefault="00FF4539" w:rsidP="001B0E47">
            <w:pPr>
              <w:tabs>
                <w:tab w:val="left" w:pos="356"/>
                <w:tab w:val="left" w:pos="2268"/>
              </w:tabs>
              <w:jc w:val="both"/>
              <w:rPr>
                <w:rFonts w:ascii="Garamond" w:hAnsi="Garamond"/>
                <w:b/>
                <w:sz w:val="22"/>
                <w:lang w:val="nl-BE"/>
              </w:rPr>
            </w:pPr>
          </w:p>
          <w:p w14:paraId="1B0F8E66" w14:textId="3ED69D52" w:rsidR="00FF4539" w:rsidRDefault="00FF4539" w:rsidP="001B0E47">
            <w:pPr>
              <w:tabs>
                <w:tab w:val="left" w:pos="356"/>
                <w:tab w:val="left" w:pos="2268"/>
              </w:tabs>
              <w:jc w:val="both"/>
              <w:rPr>
                <w:rFonts w:ascii="Garamond" w:hAnsi="Garamond"/>
                <w:b/>
                <w:sz w:val="22"/>
                <w:lang w:val="nl-BE"/>
              </w:rPr>
            </w:pPr>
          </w:p>
          <w:p w14:paraId="4A5E2A74" w14:textId="198F91EA" w:rsidR="00FF4539" w:rsidRDefault="00FF4539" w:rsidP="001B0E47">
            <w:pPr>
              <w:tabs>
                <w:tab w:val="left" w:pos="356"/>
                <w:tab w:val="left" w:pos="2268"/>
              </w:tabs>
              <w:jc w:val="both"/>
              <w:rPr>
                <w:rFonts w:ascii="Garamond" w:hAnsi="Garamond"/>
                <w:b/>
                <w:sz w:val="22"/>
                <w:lang w:val="nl-BE"/>
              </w:rPr>
            </w:pPr>
          </w:p>
          <w:p w14:paraId="33DD7575" w14:textId="51EFCCDD" w:rsidR="00FF4539" w:rsidRDefault="00FF4539" w:rsidP="001B0E47">
            <w:pPr>
              <w:tabs>
                <w:tab w:val="left" w:pos="356"/>
                <w:tab w:val="left" w:pos="2268"/>
              </w:tabs>
              <w:jc w:val="both"/>
              <w:rPr>
                <w:rFonts w:ascii="Garamond" w:hAnsi="Garamond"/>
                <w:b/>
                <w:sz w:val="22"/>
                <w:lang w:val="nl-BE"/>
              </w:rPr>
            </w:pPr>
          </w:p>
          <w:p w14:paraId="77931F6F" w14:textId="6229EDC4" w:rsidR="00FF4539" w:rsidRDefault="00FF4539" w:rsidP="001B0E47">
            <w:pPr>
              <w:tabs>
                <w:tab w:val="left" w:pos="356"/>
                <w:tab w:val="left" w:pos="2268"/>
              </w:tabs>
              <w:jc w:val="both"/>
              <w:rPr>
                <w:rFonts w:ascii="Garamond" w:hAnsi="Garamond"/>
                <w:b/>
                <w:sz w:val="22"/>
                <w:lang w:val="nl-BE"/>
              </w:rPr>
            </w:pPr>
          </w:p>
          <w:p w14:paraId="7D936F8F" w14:textId="1C2BCEB7" w:rsidR="00FF4539" w:rsidRDefault="00FF4539" w:rsidP="001B0E47">
            <w:pPr>
              <w:tabs>
                <w:tab w:val="left" w:pos="356"/>
                <w:tab w:val="left" w:pos="2268"/>
              </w:tabs>
              <w:jc w:val="both"/>
              <w:rPr>
                <w:rFonts w:ascii="Garamond" w:hAnsi="Garamond"/>
                <w:b/>
                <w:sz w:val="22"/>
                <w:lang w:val="nl-BE"/>
              </w:rPr>
            </w:pPr>
          </w:p>
          <w:p w14:paraId="57A60F6E" w14:textId="77777777" w:rsidR="00FF4539" w:rsidRPr="00191D20" w:rsidRDefault="00FF4539" w:rsidP="001B0E47">
            <w:pPr>
              <w:tabs>
                <w:tab w:val="left" w:pos="356"/>
                <w:tab w:val="left" w:pos="2268"/>
              </w:tabs>
              <w:jc w:val="both"/>
              <w:rPr>
                <w:rFonts w:ascii="Garamond" w:hAnsi="Garamond"/>
                <w:b/>
                <w:sz w:val="22"/>
                <w:lang w:val="nl-BE"/>
              </w:rPr>
            </w:pPr>
          </w:p>
          <w:p w14:paraId="392A073E" w14:textId="77777777" w:rsidR="00550B34" w:rsidRPr="00191D20" w:rsidRDefault="00550B34" w:rsidP="001B0E47">
            <w:pPr>
              <w:tabs>
                <w:tab w:val="left" w:pos="356"/>
                <w:tab w:val="left" w:pos="2268"/>
              </w:tabs>
              <w:jc w:val="both"/>
              <w:rPr>
                <w:rFonts w:ascii="Garamond" w:hAnsi="Garamond"/>
                <w:b/>
                <w:sz w:val="22"/>
                <w:lang w:val="nl-BE"/>
              </w:rPr>
            </w:pPr>
          </w:p>
          <w:p w14:paraId="5C6662F1" w14:textId="45E56206" w:rsidR="00550B34" w:rsidRDefault="00550B34" w:rsidP="001B0E47">
            <w:pPr>
              <w:tabs>
                <w:tab w:val="left" w:pos="356"/>
                <w:tab w:val="left" w:pos="2268"/>
              </w:tabs>
              <w:jc w:val="both"/>
              <w:rPr>
                <w:rFonts w:ascii="Garamond" w:hAnsi="Garamond"/>
                <w:b/>
                <w:sz w:val="22"/>
                <w:lang w:val="nl-BE"/>
              </w:rPr>
            </w:pPr>
          </w:p>
          <w:p w14:paraId="0BEE6AE2" w14:textId="54870664" w:rsidR="009E396F" w:rsidRDefault="009E396F" w:rsidP="001B0E47">
            <w:pPr>
              <w:tabs>
                <w:tab w:val="left" w:pos="356"/>
                <w:tab w:val="left" w:pos="2268"/>
              </w:tabs>
              <w:jc w:val="both"/>
              <w:rPr>
                <w:rFonts w:ascii="Garamond" w:hAnsi="Garamond"/>
                <w:b/>
                <w:sz w:val="22"/>
                <w:lang w:val="nl-BE"/>
              </w:rPr>
            </w:pPr>
          </w:p>
          <w:p w14:paraId="5B0CFD33" w14:textId="1C5A6353" w:rsidR="009E396F" w:rsidRDefault="009E396F" w:rsidP="001B0E47">
            <w:pPr>
              <w:tabs>
                <w:tab w:val="left" w:pos="356"/>
                <w:tab w:val="left" w:pos="2268"/>
              </w:tabs>
              <w:jc w:val="both"/>
              <w:rPr>
                <w:rFonts w:ascii="Garamond" w:hAnsi="Garamond"/>
                <w:b/>
                <w:sz w:val="22"/>
                <w:lang w:val="nl-BE"/>
              </w:rPr>
            </w:pPr>
          </w:p>
          <w:p w14:paraId="52A119CE" w14:textId="77777777" w:rsidR="009E396F" w:rsidRPr="00191D20" w:rsidRDefault="009E396F" w:rsidP="001B0E47">
            <w:pPr>
              <w:tabs>
                <w:tab w:val="left" w:pos="356"/>
                <w:tab w:val="left" w:pos="2268"/>
              </w:tabs>
              <w:jc w:val="both"/>
              <w:rPr>
                <w:rFonts w:ascii="Garamond" w:hAnsi="Garamond"/>
                <w:b/>
                <w:sz w:val="22"/>
                <w:lang w:val="nl-BE"/>
              </w:rPr>
            </w:pPr>
          </w:p>
          <w:p w14:paraId="016939B6" w14:textId="77777777" w:rsidR="00550B34" w:rsidRPr="00191D20" w:rsidRDefault="00550B34" w:rsidP="001B0E47">
            <w:pPr>
              <w:tabs>
                <w:tab w:val="left" w:pos="356"/>
                <w:tab w:val="left" w:pos="2268"/>
              </w:tabs>
              <w:jc w:val="both"/>
              <w:rPr>
                <w:rFonts w:ascii="Garamond" w:hAnsi="Garamond"/>
                <w:b/>
                <w:sz w:val="22"/>
                <w:lang w:val="nl-BE"/>
              </w:rPr>
            </w:pPr>
          </w:p>
          <w:p w14:paraId="1D55EDFC" w14:textId="0427E4A2" w:rsidR="001B0E47" w:rsidRPr="00E36AE7" w:rsidRDefault="001B0E47" w:rsidP="001B0E47">
            <w:pPr>
              <w:tabs>
                <w:tab w:val="left" w:pos="356"/>
                <w:tab w:val="left" w:pos="2268"/>
              </w:tabs>
              <w:jc w:val="both"/>
              <w:rPr>
                <w:rFonts w:ascii="Garamond" w:hAnsi="Garamond"/>
                <w:sz w:val="22"/>
                <w:u w:val="single"/>
                <w:lang w:val="fr-BE"/>
              </w:rPr>
            </w:pPr>
            <w:r w:rsidRPr="00E36AE7">
              <w:rPr>
                <w:rFonts w:ascii="Garamond" w:hAnsi="Garamond"/>
                <w:b/>
                <w:sz w:val="22"/>
                <w:lang w:val="fr-BE"/>
              </w:rPr>
              <w:lastRenderedPageBreak/>
              <w:t xml:space="preserve">Art. </w:t>
            </w:r>
            <w:r w:rsidR="00FF4539">
              <w:rPr>
                <w:rFonts w:ascii="Garamond" w:hAnsi="Garamond"/>
                <w:b/>
                <w:sz w:val="22"/>
                <w:lang w:val="fr-BE"/>
              </w:rPr>
              <w:t>5</w:t>
            </w:r>
            <w:r w:rsidRPr="00E36AE7">
              <w:rPr>
                <w:rFonts w:ascii="Garamond" w:hAnsi="Garamond"/>
                <w:b/>
                <w:sz w:val="22"/>
                <w:lang w:val="fr-BE"/>
              </w:rPr>
              <w:t>.</w:t>
            </w:r>
            <w:r w:rsidRPr="00E36AE7">
              <w:rPr>
                <w:rFonts w:ascii="Garamond" w:hAnsi="Garamond"/>
                <w:sz w:val="22"/>
                <w:lang w:val="fr-BE"/>
              </w:rPr>
              <w:t xml:space="preserve"> </w:t>
            </w:r>
            <w:r w:rsidRPr="005A1493">
              <w:rPr>
                <w:rFonts w:ascii="Garamond" w:hAnsi="Garamond"/>
                <w:sz w:val="22"/>
                <w:lang w:val="fr-BE"/>
              </w:rPr>
              <w:t>L</w:t>
            </w:r>
            <w:r>
              <w:rPr>
                <w:rFonts w:ascii="Garamond" w:hAnsi="Garamond"/>
                <w:sz w:val="22"/>
                <w:lang w:val="fr-BE"/>
              </w:rPr>
              <w:t>e</w:t>
            </w:r>
            <w:r w:rsidRPr="005A1493">
              <w:rPr>
                <w:rFonts w:ascii="Garamond" w:hAnsi="Garamond"/>
                <w:sz w:val="22"/>
                <w:lang w:val="fr-BE"/>
              </w:rPr>
              <w:t xml:space="preserve"> ministre qui a la Santé publique dans ses attributions </w:t>
            </w:r>
            <w:r w:rsidRPr="007D2F26">
              <w:rPr>
                <w:rFonts w:ascii="Garamond" w:hAnsi="Garamond" w:cs="Arial"/>
                <w:sz w:val="22"/>
                <w:szCs w:val="22"/>
                <w:lang w:val="fr-BE"/>
              </w:rPr>
              <w:t>et le ministre qui a l’</w:t>
            </w:r>
            <w:r w:rsidRPr="00E94471">
              <w:rPr>
                <w:rFonts w:ascii="Garamond" w:hAnsi="Garamond" w:cs="Arial"/>
                <w:sz w:val="22"/>
                <w:szCs w:val="22"/>
                <w:lang w:val="fr-BE"/>
              </w:rPr>
              <w:t xml:space="preserve">Agriculture </w:t>
            </w:r>
            <w:r w:rsidRPr="007D2F26">
              <w:rPr>
                <w:rFonts w:ascii="Garamond" w:hAnsi="Garamond" w:cs="Arial"/>
                <w:sz w:val="22"/>
                <w:szCs w:val="22"/>
                <w:lang w:val="fr-BE"/>
              </w:rPr>
              <w:t>dans ses attributions sont chargés, chacun en ce qui le concerne, de l'exécution du présent arrêté</w:t>
            </w:r>
            <w:r w:rsidRPr="00E36AE7">
              <w:rPr>
                <w:rFonts w:ascii="Garamond" w:hAnsi="Garamond"/>
                <w:sz w:val="22"/>
                <w:lang w:val="fr-BE"/>
              </w:rPr>
              <w:t>.</w:t>
            </w:r>
          </w:p>
        </w:tc>
        <w:tc>
          <w:tcPr>
            <w:tcW w:w="324" w:type="dxa"/>
            <w:tcBorders>
              <w:top w:val="nil"/>
              <w:left w:val="nil"/>
              <w:bottom w:val="nil"/>
              <w:right w:val="nil"/>
            </w:tcBorders>
          </w:tcPr>
          <w:p w14:paraId="0497A202" w14:textId="77777777" w:rsidR="001B0E47" w:rsidRPr="00E36AE7" w:rsidRDefault="001B0E47" w:rsidP="001B0E47">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703AE914" w14:textId="77777777" w:rsidR="00550B34" w:rsidRPr="00191D20" w:rsidRDefault="00550B34" w:rsidP="001B0E47">
            <w:pPr>
              <w:tabs>
                <w:tab w:val="left" w:pos="355"/>
              </w:tabs>
              <w:jc w:val="both"/>
              <w:rPr>
                <w:rFonts w:ascii="Garamond" w:hAnsi="Garamond"/>
                <w:b/>
                <w:sz w:val="22"/>
                <w:lang w:val="fr-BE"/>
              </w:rPr>
            </w:pPr>
          </w:p>
          <w:p w14:paraId="42F76260" w14:textId="77777777" w:rsidR="00550B34" w:rsidRPr="00191D20" w:rsidRDefault="00550B34" w:rsidP="001B0E47">
            <w:pPr>
              <w:tabs>
                <w:tab w:val="left" w:pos="355"/>
              </w:tabs>
              <w:jc w:val="both"/>
              <w:rPr>
                <w:rFonts w:ascii="Garamond" w:hAnsi="Garamond"/>
                <w:b/>
                <w:sz w:val="22"/>
                <w:lang w:val="fr-BE"/>
              </w:rPr>
            </w:pPr>
          </w:p>
          <w:p w14:paraId="54B61A36" w14:textId="77777777" w:rsidR="00550B34" w:rsidRPr="00191D20" w:rsidRDefault="00550B34" w:rsidP="001B0E47">
            <w:pPr>
              <w:tabs>
                <w:tab w:val="left" w:pos="355"/>
              </w:tabs>
              <w:jc w:val="both"/>
              <w:rPr>
                <w:rFonts w:ascii="Garamond" w:hAnsi="Garamond"/>
                <w:b/>
                <w:sz w:val="22"/>
                <w:lang w:val="fr-BE"/>
              </w:rPr>
            </w:pPr>
          </w:p>
          <w:p w14:paraId="69D71837" w14:textId="77777777" w:rsidR="00550B34" w:rsidRPr="00191D20" w:rsidRDefault="00550B34" w:rsidP="001B0E47">
            <w:pPr>
              <w:tabs>
                <w:tab w:val="left" w:pos="355"/>
              </w:tabs>
              <w:jc w:val="both"/>
              <w:rPr>
                <w:rFonts w:ascii="Garamond" w:hAnsi="Garamond"/>
                <w:b/>
                <w:sz w:val="22"/>
                <w:lang w:val="fr-BE"/>
              </w:rPr>
            </w:pPr>
          </w:p>
          <w:p w14:paraId="63520C04" w14:textId="77777777" w:rsidR="00550B34" w:rsidRPr="00191D20" w:rsidRDefault="00550B34" w:rsidP="001B0E47">
            <w:pPr>
              <w:tabs>
                <w:tab w:val="left" w:pos="355"/>
              </w:tabs>
              <w:jc w:val="both"/>
              <w:rPr>
                <w:rFonts w:ascii="Garamond" w:hAnsi="Garamond"/>
                <w:b/>
                <w:sz w:val="22"/>
                <w:lang w:val="fr-BE"/>
              </w:rPr>
            </w:pPr>
          </w:p>
          <w:p w14:paraId="759B4522" w14:textId="77777777" w:rsidR="00550B34" w:rsidRPr="00191D20" w:rsidRDefault="00550B34" w:rsidP="001B0E47">
            <w:pPr>
              <w:tabs>
                <w:tab w:val="left" w:pos="355"/>
              </w:tabs>
              <w:jc w:val="both"/>
              <w:rPr>
                <w:rFonts w:ascii="Garamond" w:hAnsi="Garamond"/>
                <w:b/>
                <w:sz w:val="22"/>
                <w:lang w:val="fr-BE"/>
              </w:rPr>
            </w:pPr>
          </w:p>
          <w:p w14:paraId="113F1F71" w14:textId="77777777" w:rsidR="00550B34" w:rsidRPr="00191D20" w:rsidRDefault="00550B34" w:rsidP="001B0E47">
            <w:pPr>
              <w:tabs>
                <w:tab w:val="left" w:pos="355"/>
              </w:tabs>
              <w:jc w:val="both"/>
              <w:rPr>
                <w:rFonts w:ascii="Garamond" w:hAnsi="Garamond"/>
                <w:b/>
                <w:sz w:val="22"/>
                <w:lang w:val="fr-BE"/>
              </w:rPr>
            </w:pPr>
          </w:p>
          <w:p w14:paraId="243D315C" w14:textId="77777777" w:rsidR="00550B34" w:rsidRPr="00191D20" w:rsidRDefault="00550B34" w:rsidP="001B0E47">
            <w:pPr>
              <w:tabs>
                <w:tab w:val="left" w:pos="355"/>
              </w:tabs>
              <w:jc w:val="both"/>
              <w:rPr>
                <w:rFonts w:ascii="Garamond" w:hAnsi="Garamond"/>
                <w:b/>
                <w:sz w:val="22"/>
                <w:lang w:val="fr-BE"/>
              </w:rPr>
            </w:pPr>
          </w:p>
          <w:p w14:paraId="1340A4CA" w14:textId="77777777" w:rsidR="00550B34" w:rsidRPr="00191D20" w:rsidRDefault="00550B34" w:rsidP="001B0E47">
            <w:pPr>
              <w:tabs>
                <w:tab w:val="left" w:pos="355"/>
              </w:tabs>
              <w:jc w:val="both"/>
              <w:rPr>
                <w:rFonts w:ascii="Garamond" w:hAnsi="Garamond"/>
                <w:b/>
                <w:sz w:val="22"/>
                <w:lang w:val="fr-BE"/>
              </w:rPr>
            </w:pPr>
          </w:p>
          <w:p w14:paraId="0E463BE6" w14:textId="77777777" w:rsidR="00550B34" w:rsidRPr="00191D20" w:rsidRDefault="00550B34" w:rsidP="001B0E47">
            <w:pPr>
              <w:tabs>
                <w:tab w:val="left" w:pos="355"/>
              </w:tabs>
              <w:jc w:val="both"/>
              <w:rPr>
                <w:rFonts w:ascii="Garamond" w:hAnsi="Garamond"/>
                <w:b/>
                <w:sz w:val="22"/>
                <w:lang w:val="fr-BE"/>
              </w:rPr>
            </w:pPr>
          </w:p>
          <w:p w14:paraId="0EE15B1C" w14:textId="77777777" w:rsidR="00550B34" w:rsidRPr="00191D20" w:rsidRDefault="00550B34" w:rsidP="001B0E47">
            <w:pPr>
              <w:tabs>
                <w:tab w:val="left" w:pos="355"/>
              </w:tabs>
              <w:jc w:val="both"/>
              <w:rPr>
                <w:rFonts w:ascii="Garamond" w:hAnsi="Garamond"/>
                <w:b/>
                <w:sz w:val="22"/>
                <w:lang w:val="fr-BE"/>
              </w:rPr>
            </w:pPr>
          </w:p>
          <w:p w14:paraId="64F386A8" w14:textId="77777777" w:rsidR="00550B34" w:rsidRPr="00191D20" w:rsidRDefault="00550B34" w:rsidP="001B0E47">
            <w:pPr>
              <w:tabs>
                <w:tab w:val="left" w:pos="355"/>
              </w:tabs>
              <w:jc w:val="both"/>
              <w:rPr>
                <w:rFonts w:ascii="Garamond" w:hAnsi="Garamond"/>
                <w:b/>
                <w:sz w:val="22"/>
                <w:lang w:val="fr-BE"/>
              </w:rPr>
            </w:pPr>
          </w:p>
          <w:p w14:paraId="28E4288F" w14:textId="77777777" w:rsidR="00550B34" w:rsidRPr="00191D20" w:rsidRDefault="00550B34" w:rsidP="001B0E47">
            <w:pPr>
              <w:tabs>
                <w:tab w:val="left" w:pos="355"/>
              </w:tabs>
              <w:jc w:val="both"/>
              <w:rPr>
                <w:rFonts w:ascii="Garamond" w:hAnsi="Garamond"/>
                <w:b/>
                <w:sz w:val="22"/>
                <w:lang w:val="fr-BE"/>
              </w:rPr>
            </w:pPr>
          </w:p>
          <w:p w14:paraId="6E30F3F4" w14:textId="77777777" w:rsidR="00550B34" w:rsidRPr="00191D20" w:rsidRDefault="00550B34" w:rsidP="001B0E47">
            <w:pPr>
              <w:tabs>
                <w:tab w:val="left" w:pos="355"/>
              </w:tabs>
              <w:jc w:val="both"/>
              <w:rPr>
                <w:rFonts w:ascii="Garamond" w:hAnsi="Garamond"/>
                <w:b/>
                <w:sz w:val="22"/>
                <w:lang w:val="fr-BE"/>
              </w:rPr>
            </w:pPr>
          </w:p>
          <w:p w14:paraId="4B3398EC" w14:textId="77777777" w:rsidR="00550B34" w:rsidRPr="00191D20" w:rsidRDefault="00550B34" w:rsidP="001B0E47">
            <w:pPr>
              <w:tabs>
                <w:tab w:val="left" w:pos="355"/>
              </w:tabs>
              <w:jc w:val="both"/>
              <w:rPr>
                <w:rFonts w:ascii="Garamond" w:hAnsi="Garamond"/>
                <w:b/>
                <w:sz w:val="22"/>
                <w:lang w:val="fr-BE"/>
              </w:rPr>
            </w:pPr>
          </w:p>
          <w:p w14:paraId="31BE6738" w14:textId="77777777" w:rsidR="00550B34" w:rsidRPr="00191D20" w:rsidRDefault="00550B34" w:rsidP="001B0E47">
            <w:pPr>
              <w:tabs>
                <w:tab w:val="left" w:pos="355"/>
              </w:tabs>
              <w:jc w:val="both"/>
              <w:rPr>
                <w:rFonts w:ascii="Garamond" w:hAnsi="Garamond"/>
                <w:b/>
                <w:sz w:val="22"/>
                <w:lang w:val="fr-BE"/>
              </w:rPr>
            </w:pPr>
          </w:p>
          <w:p w14:paraId="0EEE8B43" w14:textId="77777777" w:rsidR="00550B34" w:rsidRPr="00191D20" w:rsidRDefault="00550B34" w:rsidP="001B0E47">
            <w:pPr>
              <w:tabs>
                <w:tab w:val="left" w:pos="355"/>
              </w:tabs>
              <w:jc w:val="both"/>
              <w:rPr>
                <w:rFonts w:ascii="Garamond" w:hAnsi="Garamond"/>
                <w:b/>
                <w:sz w:val="22"/>
                <w:lang w:val="fr-BE"/>
              </w:rPr>
            </w:pPr>
          </w:p>
          <w:p w14:paraId="601E904D" w14:textId="77777777" w:rsidR="00550B34" w:rsidRPr="00191D20" w:rsidRDefault="00550B34" w:rsidP="001B0E47">
            <w:pPr>
              <w:tabs>
                <w:tab w:val="left" w:pos="355"/>
              </w:tabs>
              <w:jc w:val="both"/>
              <w:rPr>
                <w:rFonts w:ascii="Garamond" w:hAnsi="Garamond"/>
                <w:b/>
                <w:sz w:val="22"/>
                <w:lang w:val="fr-BE"/>
              </w:rPr>
            </w:pPr>
          </w:p>
          <w:p w14:paraId="09FD84C1" w14:textId="77777777" w:rsidR="00550B34" w:rsidRPr="00191D20" w:rsidRDefault="00550B34" w:rsidP="001B0E47">
            <w:pPr>
              <w:tabs>
                <w:tab w:val="left" w:pos="355"/>
              </w:tabs>
              <w:jc w:val="both"/>
              <w:rPr>
                <w:rFonts w:ascii="Garamond" w:hAnsi="Garamond"/>
                <w:b/>
                <w:sz w:val="22"/>
                <w:lang w:val="fr-BE"/>
              </w:rPr>
            </w:pPr>
          </w:p>
          <w:p w14:paraId="27C3FDDA" w14:textId="77777777" w:rsidR="00550B34" w:rsidRPr="00191D20" w:rsidRDefault="00550B34" w:rsidP="001B0E47">
            <w:pPr>
              <w:tabs>
                <w:tab w:val="left" w:pos="355"/>
              </w:tabs>
              <w:jc w:val="both"/>
              <w:rPr>
                <w:rFonts w:ascii="Garamond" w:hAnsi="Garamond"/>
                <w:b/>
                <w:sz w:val="22"/>
                <w:lang w:val="fr-BE"/>
              </w:rPr>
            </w:pPr>
          </w:p>
          <w:p w14:paraId="6A0020F0" w14:textId="77777777" w:rsidR="00550B34" w:rsidRPr="00191D20" w:rsidRDefault="00550B34" w:rsidP="001B0E47">
            <w:pPr>
              <w:tabs>
                <w:tab w:val="left" w:pos="355"/>
              </w:tabs>
              <w:jc w:val="both"/>
              <w:rPr>
                <w:rFonts w:ascii="Garamond" w:hAnsi="Garamond"/>
                <w:b/>
                <w:sz w:val="22"/>
                <w:lang w:val="fr-BE"/>
              </w:rPr>
            </w:pPr>
          </w:p>
          <w:p w14:paraId="723769C6" w14:textId="77777777" w:rsidR="00550B34" w:rsidRPr="00191D20" w:rsidRDefault="00550B34" w:rsidP="001B0E47">
            <w:pPr>
              <w:tabs>
                <w:tab w:val="left" w:pos="355"/>
              </w:tabs>
              <w:jc w:val="both"/>
              <w:rPr>
                <w:rFonts w:ascii="Garamond" w:hAnsi="Garamond"/>
                <w:b/>
                <w:sz w:val="22"/>
                <w:lang w:val="fr-BE"/>
              </w:rPr>
            </w:pPr>
          </w:p>
          <w:p w14:paraId="3A046F6A" w14:textId="43471DA0" w:rsidR="00550B34" w:rsidRDefault="00550B34" w:rsidP="001B0E47">
            <w:pPr>
              <w:tabs>
                <w:tab w:val="left" w:pos="355"/>
              </w:tabs>
              <w:jc w:val="both"/>
              <w:rPr>
                <w:rFonts w:ascii="Garamond" w:hAnsi="Garamond"/>
                <w:b/>
                <w:sz w:val="22"/>
                <w:lang w:val="fr-BE"/>
              </w:rPr>
            </w:pPr>
          </w:p>
          <w:p w14:paraId="1A485579" w14:textId="6403CE55" w:rsidR="00FF4539" w:rsidRDefault="00FF4539" w:rsidP="001B0E47">
            <w:pPr>
              <w:tabs>
                <w:tab w:val="left" w:pos="355"/>
              </w:tabs>
              <w:jc w:val="both"/>
              <w:rPr>
                <w:rFonts w:ascii="Garamond" w:hAnsi="Garamond"/>
                <w:b/>
                <w:sz w:val="22"/>
                <w:lang w:val="fr-BE"/>
              </w:rPr>
            </w:pPr>
          </w:p>
          <w:p w14:paraId="010F88BF" w14:textId="4BFDB026" w:rsidR="00FF4539" w:rsidRDefault="00FF4539" w:rsidP="001B0E47">
            <w:pPr>
              <w:tabs>
                <w:tab w:val="left" w:pos="355"/>
              </w:tabs>
              <w:jc w:val="both"/>
              <w:rPr>
                <w:rFonts w:ascii="Garamond" w:hAnsi="Garamond"/>
                <w:b/>
                <w:sz w:val="22"/>
                <w:lang w:val="fr-BE"/>
              </w:rPr>
            </w:pPr>
          </w:p>
          <w:p w14:paraId="5E5B7473" w14:textId="758F527D" w:rsidR="00FF4539" w:rsidRDefault="00FF4539" w:rsidP="001B0E47">
            <w:pPr>
              <w:tabs>
                <w:tab w:val="left" w:pos="355"/>
              </w:tabs>
              <w:jc w:val="both"/>
              <w:rPr>
                <w:rFonts w:ascii="Garamond" w:hAnsi="Garamond"/>
                <w:b/>
                <w:sz w:val="22"/>
                <w:lang w:val="fr-BE"/>
              </w:rPr>
            </w:pPr>
          </w:p>
          <w:p w14:paraId="165C8923" w14:textId="7705C3C7" w:rsidR="00FF4539" w:rsidRDefault="00FF4539" w:rsidP="001B0E47">
            <w:pPr>
              <w:tabs>
                <w:tab w:val="left" w:pos="355"/>
              </w:tabs>
              <w:jc w:val="both"/>
              <w:rPr>
                <w:rFonts w:ascii="Garamond" w:hAnsi="Garamond"/>
                <w:b/>
                <w:sz w:val="22"/>
                <w:lang w:val="fr-BE"/>
              </w:rPr>
            </w:pPr>
          </w:p>
          <w:p w14:paraId="33348EBF" w14:textId="02550D22" w:rsidR="00FF4539" w:rsidRDefault="00FF4539" w:rsidP="001B0E47">
            <w:pPr>
              <w:tabs>
                <w:tab w:val="left" w:pos="355"/>
              </w:tabs>
              <w:jc w:val="both"/>
              <w:rPr>
                <w:rFonts w:ascii="Garamond" w:hAnsi="Garamond"/>
                <w:b/>
                <w:sz w:val="22"/>
                <w:lang w:val="fr-BE"/>
              </w:rPr>
            </w:pPr>
          </w:p>
          <w:p w14:paraId="13E5795E" w14:textId="656DBE7A" w:rsidR="00FF4539" w:rsidRDefault="00FF4539" w:rsidP="001B0E47">
            <w:pPr>
              <w:tabs>
                <w:tab w:val="left" w:pos="355"/>
              </w:tabs>
              <w:jc w:val="both"/>
              <w:rPr>
                <w:rFonts w:ascii="Garamond" w:hAnsi="Garamond"/>
                <w:b/>
                <w:sz w:val="22"/>
                <w:lang w:val="fr-BE"/>
              </w:rPr>
            </w:pPr>
          </w:p>
          <w:p w14:paraId="3E31290F" w14:textId="7F00FD03" w:rsidR="00FF4539" w:rsidRDefault="00FF4539" w:rsidP="001B0E47">
            <w:pPr>
              <w:tabs>
                <w:tab w:val="left" w:pos="355"/>
              </w:tabs>
              <w:jc w:val="both"/>
              <w:rPr>
                <w:rFonts w:ascii="Garamond" w:hAnsi="Garamond"/>
                <w:b/>
                <w:sz w:val="22"/>
                <w:lang w:val="fr-BE"/>
              </w:rPr>
            </w:pPr>
          </w:p>
          <w:p w14:paraId="63F750C0" w14:textId="21E1CEE9" w:rsidR="00FF4539" w:rsidRDefault="00FF4539" w:rsidP="001B0E47">
            <w:pPr>
              <w:tabs>
                <w:tab w:val="left" w:pos="355"/>
              </w:tabs>
              <w:jc w:val="both"/>
              <w:rPr>
                <w:rFonts w:ascii="Garamond" w:hAnsi="Garamond"/>
                <w:b/>
                <w:sz w:val="22"/>
                <w:lang w:val="fr-BE"/>
              </w:rPr>
            </w:pPr>
          </w:p>
          <w:p w14:paraId="6ECB8F77" w14:textId="0967C596" w:rsidR="00FF4539" w:rsidRDefault="00FF4539" w:rsidP="001B0E47">
            <w:pPr>
              <w:tabs>
                <w:tab w:val="left" w:pos="355"/>
              </w:tabs>
              <w:jc w:val="both"/>
              <w:rPr>
                <w:rFonts w:ascii="Garamond" w:hAnsi="Garamond"/>
                <w:b/>
                <w:sz w:val="22"/>
                <w:lang w:val="fr-BE"/>
              </w:rPr>
            </w:pPr>
          </w:p>
          <w:p w14:paraId="6D13C57C" w14:textId="2A8C1684" w:rsidR="009E396F" w:rsidRDefault="009E396F" w:rsidP="001B0E47">
            <w:pPr>
              <w:tabs>
                <w:tab w:val="left" w:pos="355"/>
              </w:tabs>
              <w:jc w:val="both"/>
              <w:rPr>
                <w:rFonts w:ascii="Garamond" w:hAnsi="Garamond"/>
                <w:b/>
                <w:sz w:val="22"/>
                <w:lang w:val="fr-BE"/>
              </w:rPr>
            </w:pPr>
          </w:p>
          <w:p w14:paraId="5B489227" w14:textId="0A1BD7F5" w:rsidR="009E396F" w:rsidRDefault="009E396F" w:rsidP="001B0E47">
            <w:pPr>
              <w:tabs>
                <w:tab w:val="left" w:pos="355"/>
              </w:tabs>
              <w:jc w:val="both"/>
              <w:rPr>
                <w:rFonts w:ascii="Garamond" w:hAnsi="Garamond"/>
                <w:b/>
                <w:sz w:val="22"/>
                <w:lang w:val="fr-BE"/>
              </w:rPr>
            </w:pPr>
          </w:p>
          <w:p w14:paraId="69389A28" w14:textId="77777777" w:rsidR="009E396F" w:rsidRDefault="009E396F" w:rsidP="001B0E47">
            <w:pPr>
              <w:tabs>
                <w:tab w:val="left" w:pos="355"/>
              </w:tabs>
              <w:jc w:val="both"/>
              <w:rPr>
                <w:rFonts w:ascii="Garamond" w:hAnsi="Garamond"/>
                <w:b/>
                <w:sz w:val="22"/>
                <w:lang w:val="fr-BE"/>
              </w:rPr>
            </w:pPr>
          </w:p>
          <w:p w14:paraId="00D39663" w14:textId="77777777" w:rsidR="00FF4539" w:rsidRPr="00191D20" w:rsidRDefault="00FF4539" w:rsidP="001B0E47">
            <w:pPr>
              <w:tabs>
                <w:tab w:val="left" w:pos="355"/>
              </w:tabs>
              <w:jc w:val="both"/>
              <w:rPr>
                <w:rFonts w:ascii="Garamond" w:hAnsi="Garamond"/>
                <w:b/>
                <w:sz w:val="22"/>
                <w:lang w:val="fr-BE"/>
              </w:rPr>
            </w:pPr>
          </w:p>
          <w:p w14:paraId="593A6509" w14:textId="77777777" w:rsidR="00550B34" w:rsidRPr="00191D20" w:rsidRDefault="00550B34" w:rsidP="001B0E47">
            <w:pPr>
              <w:tabs>
                <w:tab w:val="left" w:pos="355"/>
              </w:tabs>
              <w:jc w:val="both"/>
              <w:rPr>
                <w:rFonts w:ascii="Garamond" w:hAnsi="Garamond"/>
                <w:b/>
                <w:sz w:val="22"/>
                <w:lang w:val="fr-BE"/>
              </w:rPr>
            </w:pPr>
          </w:p>
          <w:p w14:paraId="482EE8D0" w14:textId="4769DCC4" w:rsidR="001B0E47" w:rsidRPr="00E36AE7" w:rsidRDefault="001B0E47" w:rsidP="001B0E47">
            <w:pPr>
              <w:tabs>
                <w:tab w:val="left" w:pos="355"/>
              </w:tabs>
              <w:jc w:val="both"/>
              <w:rPr>
                <w:rFonts w:ascii="Garamond" w:hAnsi="Garamond"/>
                <w:sz w:val="22"/>
                <w:lang w:val="nl-NL"/>
              </w:rPr>
            </w:pPr>
            <w:r w:rsidRPr="00E36AE7">
              <w:rPr>
                <w:rFonts w:ascii="Garamond" w:hAnsi="Garamond"/>
                <w:b/>
                <w:sz w:val="22"/>
                <w:lang w:val="nl-NL"/>
              </w:rPr>
              <w:lastRenderedPageBreak/>
              <w:t xml:space="preserve">Art. </w:t>
            </w:r>
            <w:r w:rsidR="00FF4539">
              <w:rPr>
                <w:rFonts w:ascii="Garamond" w:hAnsi="Garamond"/>
                <w:b/>
                <w:sz w:val="22"/>
                <w:lang w:val="nl-NL"/>
              </w:rPr>
              <w:t>5</w:t>
            </w:r>
            <w:r w:rsidRPr="00E36AE7">
              <w:rPr>
                <w:rFonts w:ascii="Garamond" w:hAnsi="Garamond"/>
                <w:b/>
                <w:sz w:val="22"/>
                <w:lang w:val="nl-NL"/>
              </w:rPr>
              <w:t>.</w:t>
            </w:r>
            <w:r>
              <w:rPr>
                <w:rFonts w:ascii="Garamond" w:hAnsi="Garamond"/>
                <w:sz w:val="22"/>
                <w:szCs w:val="22"/>
                <w:lang w:val="nl-NL"/>
              </w:rPr>
              <w:t xml:space="preserve"> </w:t>
            </w:r>
            <w:r w:rsidRPr="00E36AE7">
              <w:rPr>
                <w:rFonts w:ascii="Garamond" w:hAnsi="Garamond"/>
                <w:sz w:val="22"/>
                <w:lang w:val="nl-NL"/>
              </w:rPr>
              <w:t>De minister bevoegd voor Volksgezondheid en de minister bevoegd voor Landbouw zijn, ieder wat hem betreft, belast met de uitvoering van dit besluit</w:t>
            </w:r>
          </w:p>
        </w:tc>
      </w:tr>
      <w:tr w:rsidR="001B0E47" w:rsidRPr="004E5F07" w14:paraId="21AC1BEF" w14:textId="77777777" w:rsidTr="0013508B">
        <w:tc>
          <w:tcPr>
            <w:tcW w:w="4496" w:type="dxa"/>
            <w:tcBorders>
              <w:top w:val="nil"/>
              <w:left w:val="nil"/>
              <w:bottom w:val="nil"/>
              <w:right w:val="nil"/>
            </w:tcBorders>
          </w:tcPr>
          <w:p w14:paraId="07F6F25E" w14:textId="1A662FF0" w:rsidR="001B0E47" w:rsidRPr="00E36AE7" w:rsidRDefault="001B0E47" w:rsidP="001B0E47">
            <w:pPr>
              <w:tabs>
                <w:tab w:val="left" w:pos="356"/>
                <w:tab w:val="left" w:pos="2268"/>
              </w:tabs>
              <w:jc w:val="both"/>
              <w:rPr>
                <w:rFonts w:ascii="Garamond" w:hAnsi="Garamond"/>
                <w:sz w:val="22"/>
                <w:lang w:val="nl-NL"/>
              </w:rPr>
            </w:pPr>
          </w:p>
        </w:tc>
        <w:tc>
          <w:tcPr>
            <w:tcW w:w="324" w:type="dxa"/>
            <w:tcBorders>
              <w:top w:val="nil"/>
              <w:left w:val="nil"/>
              <w:bottom w:val="nil"/>
              <w:right w:val="nil"/>
            </w:tcBorders>
          </w:tcPr>
          <w:p w14:paraId="27BCA9BC" w14:textId="77777777" w:rsidR="001B0E47" w:rsidRPr="00E36AE7" w:rsidRDefault="001B0E47" w:rsidP="001B0E47">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0BC863DF" w14:textId="7AC4D6AE" w:rsidR="001B0E47" w:rsidRPr="00E36AE7" w:rsidRDefault="001B0E47" w:rsidP="001B0E47">
            <w:pPr>
              <w:tabs>
                <w:tab w:val="left" w:pos="355"/>
                <w:tab w:val="left" w:pos="2410"/>
              </w:tabs>
              <w:jc w:val="both"/>
              <w:rPr>
                <w:rFonts w:ascii="Garamond" w:hAnsi="Garamond"/>
                <w:sz w:val="22"/>
                <w:u w:val="single"/>
                <w:lang w:val="nl-NL"/>
              </w:rPr>
            </w:pPr>
          </w:p>
        </w:tc>
      </w:tr>
      <w:tr w:rsidR="001B0E47" w:rsidRPr="004E5F07" w14:paraId="0765F59D" w14:textId="77777777" w:rsidTr="0013508B">
        <w:tc>
          <w:tcPr>
            <w:tcW w:w="4496" w:type="dxa"/>
            <w:tcBorders>
              <w:top w:val="nil"/>
              <w:left w:val="nil"/>
              <w:bottom w:val="nil"/>
              <w:right w:val="nil"/>
            </w:tcBorders>
          </w:tcPr>
          <w:p w14:paraId="284252BE" w14:textId="77777777" w:rsidR="001B0E47" w:rsidRPr="00E36AE7" w:rsidRDefault="001B0E47" w:rsidP="001B0E47">
            <w:pPr>
              <w:tabs>
                <w:tab w:val="left" w:pos="356"/>
                <w:tab w:val="left" w:pos="2268"/>
              </w:tabs>
              <w:jc w:val="both"/>
              <w:rPr>
                <w:rFonts w:ascii="Garamond" w:hAnsi="Garamond"/>
                <w:sz w:val="22"/>
                <w:lang w:val="nl-NL"/>
              </w:rPr>
            </w:pPr>
          </w:p>
        </w:tc>
        <w:tc>
          <w:tcPr>
            <w:tcW w:w="324" w:type="dxa"/>
            <w:tcBorders>
              <w:top w:val="nil"/>
              <w:left w:val="nil"/>
              <w:bottom w:val="nil"/>
              <w:right w:val="nil"/>
            </w:tcBorders>
          </w:tcPr>
          <w:p w14:paraId="136CFBD2" w14:textId="77777777" w:rsidR="001B0E47" w:rsidRPr="00E36AE7" w:rsidRDefault="001B0E47" w:rsidP="001B0E47">
            <w:pPr>
              <w:tabs>
                <w:tab w:val="left" w:pos="2410"/>
              </w:tabs>
              <w:jc w:val="both"/>
              <w:rPr>
                <w:rFonts w:ascii="Garamond" w:hAnsi="Garamond"/>
                <w:sz w:val="22"/>
                <w:u w:val="single"/>
                <w:lang w:val="nl-NL"/>
              </w:rPr>
            </w:pPr>
          </w:p>
        </w:tc>
        <w:tc>
          <w:tcPr>
            <w:tcW w:w="4463" w:type="dxa"/>
            <w:tcBorders>
              <w:top w:val="nil"/>
              <w:left w:val="nil"/>
              <w:bottom w:val="nil"/>
              <w:right w:val="nil"/>
            </w:tcBorders>
          </w:tcPr>
          <w:p w14:paraId="570574FD" w14:textId="60872D52" w:rsidR="001B0E47" w:rsidRPr="00E36AE7" w:rsidRDefault="001B0E47" w:rsidP="001B0E47">
            <w:pPr>
              <w:tabs>
                <w:tab w:val="left" w:pos="355"/>
                <w:tab w:val="left" w:pos="2410"/>
              </w:tabs>
              <w:jc w:val="both"/>
              <w:rPr>
                <w:rFonts w:ascii="Garamond" w:hAnsi="Garamond"/>
                <w:sz w:val="22"/>
                <w:u w:val="single"/>
                <w:lang w:val="nl-NL"/>
              </w:rPr>
            </w:pPr>
          </w:p>
        </w:tc>
      </w:tr>
      <w:tr w:rsidR="001B0E47" w:rsidRPr="00A7389A" w14:paraId="2FF2E99A" w14:textId="77777777" w:rsidTr="0013508B">
        <w:tc>
          <w:tcPr>
            <w:tcW w:w="4496" w:type="dxa"/>
            <w:tcBorders>
              <w:top w:val="nil"/>
              <w:left w:val="nil"/>
              <w:bottom w:val="nil"/>
              <w:right w:val="nil"/>
            </w:tcBorders>
          </w:tcPr>
          <w:p w14:paraId="4D062574" w14:textId="7AD3371E" w:rsidR="001B0E47" w:rsidRPr="00AF546D" w:rsidRDefault="001B0E47" w:rsidP="001B0E47">
            <w:pPr>
              <w:tabs>
                <w:tab w:val="left" w:pos="356"/>
                <w:tab w:val="left" w:pos="2268"/>
              </w:tabs>
              <w:jc w:val="center"/>
              <w:rPr>
                <w:rFonts w:ascii="Garamond" w:hAnsi="Garamond"/>
                <w:sz w:val="22"/>
                <w:lang w:val="fr-BE"/>
              </w:rPr>
            </w:pPr>
            <w:r>
              <w:rPr>
                <w:rFonts w:ascii="Garamond" w:hAnsi="Garamond"/>
                <w:sz w:val="22"/>
                <w:lang w:val="fr-BE"/>
              </w:rPr>
              <w:t>, le</w:t>
            </w:r>
          </w:p>
        </w:tc>
        <w:tc>
          <w:tcPr>
            <w:tcW w:w="324" w:type="dxa"/>
            <w:tcBorders>
              <w:top w:val="nil"/>
              <w:left w:val="nil"/>
              <w:bottom w:val="nil"/>
              <w:right w:val="nil"/>
            </w:tcBorders>
          </w:tcPr>
          <w:p w14:paraId="7FD7AF60" w14:textId="77777777" w:rsidR="001B0E47" w:rsidRPr="00AF546D" w:rsidRDefault="001B0E47" w:rsidP="001B0E47">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106FE6B8" w14:textId="32A85F1F" w:rsidR="001B0E47" w:rsidRPr="00AF546D" w:rsidRDefault="001B0E47" w:rsidP="001B0E47">
            <w:pPr>
              <w:tabs>
                <w:tab w:val="left" w:pos="355"/>
                <w:tab w:val="left" w:pos="2410"/>
              </w:tabs>
              <w:jc w:val="center"/>
              <w:rPr>
                <w:rFonts w:ascii="Garamond" w:hAnsi="Garamond"/>
                <w:sz w:val="22"/>
                <w:u w:val="single"/>
                <w:lang w:val="fr-BE"/>
              </w:rPr>
            </w:pPr>
            <w:r>
              <w:rPr>
                <w:rFonts w:ascii="Garamond" w:hAnsi="Garamond"/>
                <w:sz w:val="22"/>
                <w:u w:val="single"/>
                <w:lang w:val="fr-BE"/>
              </w:rPr>
              <w:t>,</w:t>
            </w:r>
          </w:p>
        </w:tc>
      </w:tr>
      <w:tr w:rsidR="001B0E47" w:rsidRPr="007257CC" w14:paraId="72DF6C78" w14:textId="77777777" w:rsidTr="004B7D74">
        <w:trPr>
          <w:trHeight w:val="3339"/>
        </w:trPr>
        <w:tc>
          <w:tcPr>
            <w:tcW w:w="9283" w:type="dxa"/>
            <w:gridSpan w:val="3"/>
            <w:tcBorders>
              <w:top w:val="nil"/>
              <w:left w:val="nil"/>
              <w:bottom w:val="nil"/>
              <w:right w:val="nil"/>
            </w:tcBorders>
          </w:tcPr>
          <w:p w14:paraId="6DEE87DF" w14:textId="77777777" w:rsidR="001B0E47" w:rsidRPr="00AF546D" w:rsidRDefault="001B0E47" w:rsidP="001B0E47">
            <w:pPr>
              <w:tabs>
                <w:tab w:val="left" w:pos="2410"/>
              </w:tabs>
              <w:rPr>
                <w:rFonts w:ascii="Garamond" w:hAnsi="Garamond"/>
                <w:sz w:val="22"/>
                <w:u w:val="single"/>
                <w:lang w:val="fr-BE"/>
              </w:rPr>
            </w:pPr>
          </w:p>
        </w:tc>
      </w:tr>
      <w:tr w:rsidR="001B0E47" w14:paraId="6F995D1C" w14:textId="77777777" w:rsidTr="0013508B">
        <w:tc>
          <w:tcPr>
            <w:tcW w:w="4496" w:type="dxa"/>
            <w:tcBorders>
              <w:top w:val="nil"/>
              <w:left w:val="nil"/>
              <w:bottom w:val="nil"/>
              <w:right w:val="nil"/>
            </w:tcBorders>
          </w:tcPr>
          <w:p w14:paraId="00513E8B" w14:textId="57D8B21F" w:rsidR="001B0E47" w:rsidRPr="00E36AE7" w:rsidRDefault="001B0E47" w:rsidP="001B0E47">
            <w:pPr>
              <w:pStyle w:val="Pieddepage"/>
              <w:tabs>
                <w:tab w:val="clear" w:pos="4536"/>
                <w:tab w:val="clear" w:pos="9072"/>
                <w:tab w:val="left" w:pos="567"/>
                <w:tab w:val="left" w:pos="2268"/>
              </w:tabs>
              <w:jc w:val="center"/>
              <w:rPr>
                <w:rFonts w:ascii="Garamond" w:hAnsi="Garamond"/>
                <w:sz w:val="22"/>
                <w:lang w:val="nl-NL"/>
              </w:rPr>
            </w:pPr>
            <w:r w:rsidRPr="00E36AE7">
              <w:rPr>
                <w:rFonts w:ascii="Garamond" w:hAnsi="Garamond"/>
                <w:sz w:val="22"/>
                <w:lang w:val="nl-NL"/>
              </w:rPr>
              <w:t>Par le Roi</w:t>
            </w:r>
            <w:r w:rsidR="00DA7FC1">
              <w:rPr>
                <w:rFonts w:ascii="Garamond" w:hAnsi="Garamond"/>
                <w:sz w:val="22"/>
                <w:lang w:val="nl-NL"/>
              </w:rPr>
              <w:t xml:space="preserve"> </w:t>
            </w:r>
            <w:r w:rsidRPr="00E36AE7">
              <w:rPr>
                <w:rFonts w:ascii="Garamond" w:hAnsi="Garamond"/>
                <w:sz w:val="22"/>
                <w:lang w:val="nl-NL"/>
              </w:rPr>
              <w:t xml:space="preserve">: </w:t>
            </w:r>
          </w:p>
        </w:tc>
        <w:tc>
          <w:tcPr>
            <w:tcW w:w="324" w:type="dxa"/>
            <w:tcBorders>
              <w:top w:val="nil"/>
              <w:left w:val="nil"/>
              <w:bottom w:val="nil"/>
              <w:right w:val="nil"/>
            </w:tcBorders>
          </w:tcPr>
          <w:p w14:paraId="47D91337" w14:textId="77777777" w:rsidR="001B0E47" w:rsidRPr="00E36AE7" w:rsidRDefault="001B0E47" w:rsidP="001B0E47">
            <w:pPr>
              <w:tabs>
                <w:tab w:val="left" w:pos="2410"/>
              </w:tabs>
              <w:jc w:val="center"/>
              <w:rPr>
                <w:rFonts w:ascii="Garamond" w:hAnsi="Garamond"/>
                <w:sz w:val="22"/>
                <w:lang w:val="nl-NL"/>
              </w:rPr>
            </w:pPr>
          </w:p>
        </w:tc>
        <w:tc>
          <w:tcPr>
            <w:tcW w:w="4463" w:type="dxa"/>
            <w:tcBorders>
              <w:top w:val="nil"/>
              <w:left w:val="nil"/>
              <w:bottom w:val="nil"/>
              <w:right w:val="nil"/>
            </w:tcBorders>
          </w:tcPr>
          <w:p w14:paraId="6DC31213" w14:textId="6C8C4D89" w:rsidR="001B0E47" w:rsidRPr="005A1493" w:rsidRDefault="001B0E47" w:rsidP="001B0E47">
            <w:pPr>
              <w:tabs>
                <w:tab w:val="left" w:pos="2410"/>
              </w:tabs>
              <w:jc w:val="center"/>
              <w:rPr>
                <w:rFonts w:ascii="Garamond" w:hAnsi="Garamond"/>
                <w:sz w:val="22"/>
                <w:lang w:val="fr-BE"/>
              </w:rPr>
            </w:pPr>
            <w:r w:rsidRPr="00E36AE7">
              <w:rPr>
                <w:rFonts w:ascii="Garamond" w:hAnsi="Garamond"/>
                <w:sz w:val="22"/>
                <w:lang w:val="nl-NL"/>
              </w:rPr>
              <w:t>Van Koningswege</w:t>
            </w:r>
            <w:r w:rsidRPr="005A1493">
              <w:rPr>
                <w:rFonts w:ascii="Garamond" w:hAnsi="Garamond"/>
                <w:sz w:val="22"/>
                <w:lang w:val="fr-BE"/>
              </w:rPr>
              <w:t>:</w:t>
            </w:r>
          </w:p>
        </w:tc>
      </w:tr>
      <w:tr w:rsidR="001B0E47" w14:paraId="4B9D8150" w14:textId="77777777" w:rsidTr="0013508B">
        <w:tc>
          <w:tcPr>
            <w:tcW w:w="4496" w:type="dxa"/>
            <w:tcBorders>
              <w:top w:val="nil"/>
              <w:left w:val="nil"/>
              <w:bottom w:val="nil"/>
              <w:right w:val="nil"/>
            </w:tcBorders>
          </w:tcPr>
          <w:p w14:paraId="6995DEE6" w14:textId="77777777" w:rsidR="001B0E47" w:rsidRDefault="001B0E47" w:rsidP="001B0E47">
            <w:pPr>
              <w:tabs>
                <w:tab w:val="left" w:pos="567"/>
                <w:tab w:val="left" w:pos="2268"/>
              </w:tabs>
              <w:jc w:val="both"/>
              <w:rPr>
                <w:rFonts w:ascii="Garamond" w:hAnsi="Garamond"/>
                <w:sz w:val="22"/>
                <w:u w:val="single"/>
                <w:lang w:val="fr-BE"/>
              </w:rPr>
            </w:pPr>
          </w:p>
        </w:tc>
        <w:tc>
          <w:tcPr>
            <w:tcW w:w="324" w:type="dxa"/>
            <w:tcBorders>
              <w:top w:val="nil"/>
              <w:left w:val="nil"/>
              <w:bottom w:val="nil"/>
              <w:right w:val="nil"/>
            </w:tcBorders>
          </w:tcPr>
          <w:p w14:paraId="359514C4" w14:textId="77777777" w:rsidR="001B0E47" w:rsidRDefault="001B0E47" w:rsidP="001B0E47">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334A7CAB" w14:textId="77777777" w:rsidR="001B0E47" w:rsidRPr="005A1493" w:rsidRDefault="001B0E47" w:rsidP="001B0E47">
            <w:pPr>
              <w:tabs>
                <w:tab w:val="left" w:pos="2410"/>
              </w:tabs>
              <w:jc w:val="both"/>
              <w:rPr>
                <w:rFonts w:ascii="Garamond" w:hAnsi="Garamond"/>
                <w:sz w:val="22"/>
                <w:u w:val="single"/>
                <w:lang w:val="fr-BE"/>
              </w:rPr>
            </w:pPr>
          </w:p>
        </w:tc>
      </w:tr>
      <w:tr w:rsidR="001B0E47" w14:paraId="6BA35D86" w14:textId="77777777" w:rsidTr="0013508B">
        <w:tc>
          <w:tcPr>
            <w:tcW w:w="4496" w:type="dxa"/>
            <w:tcBorders>
              <w:top w:val="nil"/>
              <w:left w:val="nil"/>
              <w:bottom w:val="nil"/>
              <w:right w:val="nil"/>
            </w:tcBorders>
          </w:tcPr>
          <w:p w14:paraId="7476C80E" w14:textId="0488DF7F" w:rsidR="001B0E47" w:rsidRPr="00E36AE7" w:rsidRDefault="001B0E47" w:rsidP="001B0E47">
            <w:pPr>
              <w:tabs>
                <w:tab w:val="left" w:pos="567"/>
                <w:tab w:val="left" w:pos="2268"/>
              </w:tabs>
              <w:jc w:val="center"/>
              <w:rPr>
                <w:rFonts w:ascii="Garamond" w:hAnsi="Garamond"/>
                <w:sz w:val="22"/>
                <w:u w:val="single"/>
                <w:lang w:val="fr-BE"/>
              </w:rPr>
            </w:pPr>
            <w:r w:rsidRPr="005A1493">
              <w:rPr>
                <w:rFonts w:ascii="Garamond" w:hAnsi="Garamond"/>
                <w:sz w:val="22"/>
                <w:lang w:val="fr-BE"/>
              </w:rPr>
              <w:t>L</w:t>
            </w:r>
            <w:r>
              <w:rPr>
                <w:rFonts w:ascii="Garamond" w:hAnsi="Garamond"/>
                <w:sz w:val="22"/>
                <w:lang w:val="fr-BE"/>
              </w:rPr>
              <w:t>e</w:t>
            </w:r>
            <w:r w:rsidRPr="005A1493">
              <w:rPr>
                <w:rFonts w:ascii="Garamond" w:hAnsi="Garamond"/>
                <w:sz w:val="22"/>
                <w:lang w:val="fr-BE"/>
              </w:rPr>
              <w:t xml:space="preserve"> Ministre de la Santé publique</w:t>
            </w:r>
            <w:r>
              <w:rPr>
                <w:rFonts w:ascii="Garamond" w:hAnsi="Garamond"/>
                <w:sz w:val="22"/>
                <w:lang w:val="fr-BE"/>
              </w:rPr>
              <w:t>,</w:t>
            </w:r>
          </w:p>
        </w:tc>
        <w:tc>
          <w:tcPr>
            <w:tcW w:w="324" w:type="dxa"/>
            <w:tcBorders>
              <w:top w:val="nil"/>
              <w:left w:val="nil"/>
              <w:bottom w:val="nil"/>
              <w:right w:val="nil"/>
            </w:tcBorders>
          </w:tcPr>
          <w:p w14:paraId="0BE5B3CE" w14:textId="77777777" w:rsidR="001B0E47" w:rsidRPr="00E36AE7" w:rsidRDefault="001B0E47" w:rsidP="001B0E47">
            <w:pPr>
              <w:tabs>
                <w:tab w:val="left" w:pos="2410"/>
              </w:tabs>
              <w:jc w:val="both"/>
              <w:rPr>
                <w:rFonts w:ascii="Garamond" w:hAnsi="Garamond"/>
                <w:sz w:val="22"/>
                <w:u w:val="single"/>
                <w:lang w:val="fr-BE"/>
              </w:rPr>
            </w:pPr>
          </w:p>
        </w:tc>
        <w:tc>
          <w:tcPr>
            <w:tcW w:w="4463" w:type="dxa"/>
            <w:tcBorders>
              <w:top w:val="nil"/>
              <w:left w:val="nil"/>
              <w:bottom w:val="nil"/>
              <w:right w:val="nil"/>
            </w:tcBorders>
          </w:tcPr>
          <w:p w14:paraId="062F9CE9" w14:textId="2F2EF8D3" w:rsidR="001B0E47" w:rsidRPr="005A1493" w:rsidRDefault="001B0E47" w:rsidP="001B0E47">
            <w:pPr>
              <w:tabs>
                <w:tab w:val="left" w:pos="2410"/>
              </w:tabs>
              <w:jc w:val="center"/>
              <w:rPr>
                <w:rFonts w:ascii="Garamond" w:hAnsi="Garamond"/>
                <w:sz w:val="22"/>
                <w:u w:val="single"/>
                <w:lang w:val="fr-BE"/>
              </w:rPr>
            </w:pPr>
            <w:r w:rsidRPr="00B022BA">
              <w:rPr>
                <w:rFonts w:ascii="Garamond" w:hAnsi="Garamond"/>
                <w:sz w:val="22"/>
                <w:lang w:val="nl-BE"/>
              </w:rPr>
              <w:t>De Minister van Volksgezondheid</w:t>
            </w:r>
            <w:r w:rsidRPr="005A1493">
              <w:rPr>
                <w:rFonts w:ascii="Garamond" w:hAnsi="Garamond"/>
                <w:sz w:val="22"/>
                <w:lang w:val="fr-BE"/>
              </w:rPr>
              <w:t>,</w:t>
            </w:r>
          </w:p>
        </w:tc>
      </w:tr>
      <w:tr w:rsidR="001B0E47" w14:paraId="7ECA36FF" w14:textId="77777777" w:rsidTr="00997685">
        <w:trPr>
          <w:trHeight w:val="2832"/>
        </w:trPr>
        <w:tc>
          <w:tcPr>
            <w:tcW w:w="9283" w:type="dxa"/>
            <w:gridSpan w:val="3"/>
            <w:tcBorders>
              <w:top w:val="nil"/>
              <w:left w:val="nil"/>
              <w:bottom w:val="nil"/>
              <w:right w:val="nil"/>
            </w:tcBorders>
          </w:tcPr>
          <w:p w14:paraId="529D45DA" w14:textId="77777777" w:rsidR="001B0E47" w:rsidRDefault="001B0E47" w:rsidP="001B0E47">
            <w:pPr>
              <w:tabs>
                <w:tab w:val="left" w:pos="567"/>
                <w:tab w:val="left" w:pos="2268"/>
              </w:tabs>
              <w:rPr>
                <w:rFonts w:ascii="Garamond" w:hAnsi="Garamond"/>
                <w:sz w:val="22"/>
                <w:lang w:val="fr-BE"/>
              </w:rPr>
            </w:pPr>
          </w:p>
          <w:p w14:paraId="17A79B98" w14:textId="4BA2FE99" w:rsidR="001B0E47" w:rsidRDefault="001B0E47" w:rsidP="001B0E47">
            <w:pPr>
              <w:tabs>
                <w:tab w:val="left" w:pos="567"/>
                <w:tab w:val="left" w:pos="2268"/>
              </w:tabs>
              <w:rPr>
                <w:rFonts w:ascii="Garamond" w:hAnsi="Garamond"/>
                <w:sz w:val="22"/>
                <w:lang w:val="fr-BE"/>
              </w:rPr>
            </w:pPr>
          </w:p>
          <w:p w14:paraId="470E1477" w14:textId="0233EDC1" w:rsidR="001B0E47" w:rsidRDefault="001B0E47" w:rsidP="001B0E47">
            <w:pPr>
              <w:tabs>
                <w:tab w:val="left" w:pos="567"/>
                <w:tab w:val="left" w:pos="2268"/>
              </w:tabs>
              <w:rPr>
                <w:rFonts w:ascii="Garamond" w:hAnsi="Garamond"/>
                <w:sz w:val="22"/>
                <w:lang w:val="fr-BE"/>
              </w:rPr>
            </w:pPr>
          </w:p>
          <w:p w14:paraId="1D34B465" w14:textId="77777777" w:rsidR="001B0E47" w:rsidRDefault="001B0E47" w:rsidP="001B0E47">
            <w:pPr>
              <w:tabs>
                <w:tab w:val="left" w:pos="567"/>
                <w:tab w:val="left" w:pos="2268"/>
              </w:tabs>
              <w:rPr>
                <w:rFonts w:ascii="Garamond" w:hAnsi="Garamond"/>
                <w:sz w:val="22"/>
                <w:lang w:val="fr-BE"/>
              </w:rPr>
            </w:pPr>
          </w:p>
          <w:p w14:paraId="1408E472" w14:textId="77777777" w:rsidR="001B0E47" w:rsidRDefault="001B0E47" w:rsidP="001B0E47">
            <w:pPr>
              <w:tabs>
                <w:tab w:val="left" w:pos="567"/>
                <w:tab w:val="left" w:pos="2268"/>
              </w:tabs>
              <w:rPr>
                <w:rFonts w:ascii="Garamond" w:hAnsi="Garamond"/>
                <w:sz w:val="22"/>
                <w:lang w:val="fr-BE"/>
              </w:rPr>
            </w:pPr>
          </w:p>
          <w:p w14:paraId="3430B52B" w14:textId="77777777" w:rsidR="001B0E47" w:rsidRDefault="001B0E47" w:rsidP="001B0E47">
            <w:pPr>
              <w:tabs>
                <w:tab w:val="left" w:pos="567"/>
                <w:tab w:val="left" w:pos="2268"/>
              </w:tabs>
              <w:rPr>
                <w:rFonts w:ascii="Garamond" w:hAnsi="Garamond"/>
                <w:sz w:val="22"/>
                <w:lang w:val="fr-BE"/>
              </w:rPr>
            </w:pPr>
          </w:p>
          <w:p w14:paraId="7AFE0CF5" w14:textId="6CBEC96B" w:rsidR="001B0E47" w:rsidRDefault="001B0E47" w:rsidP="001B0E47">
            <w:pPr>
              <w:tabs>
                <w:tab w:val="left" w:pos="356"/>
                <w:tab w:val="left" w:pos="567"/>
                <w:tab w:val="left" w:pos="2268"/>
              </w:tabs>
              <w:jc w:val="center"/>
              <w:rPr>
                <w:rFonts w:ascii="Garamond" w:hAnsi="Garamond"/>
                <w:sz w:val="22"/>
              </w:rPr>
            </w:pPr>
          </w:p>
          <w:p w14:paraId="6074FE7A" w14:textId="03536CA9" w:rsidR="001B0E47" w:rsidRDefault="001B0E47" w:rsidP="001B0E47">
            <w:pPr>
              <w:tabs>
                <w:tab w:val="left" w:pos="356"/>
                <w:tab w:val="left" w:pos="567"/>
                <w:tab w:val="left" w:pos="2268"/>
              </w:tabs>
              <w:rPr>
                <w:rFonts w:ascii="Garamond" w:hAnsi="Garamond"/>
                <w:sz w:val="22"/>
              </w:rPr>
            </w:pPr>
          </w:p>
          <w:p w14:paraId="327C36CF" w14:textId="77777777" w:rsidR="001B0E47" w:rsidRPr="00CC51E7" w:rsidRDefault="001B0E47" w:rsidP="001B0E47">
            <w:pPr>
              <w:tabs>
                <w:tab w:val="left" w:pos="356"/>
                <w:tab w:val="left" w:pos="567"/>
                <w:tab w:val="left" w:pos="2268"/>
              </w:tabs>
              <w:jc w:val="center"/>
              <w:rPr>
                <w:rFonts w:ascii="Garamond" w:hAnsi="Garamond"/>
                <w:sz w:val="22"/>
              </w:rPr>
            </w:pPr>
          </w:p>
          <w:p w14:paraId="7F440E7B" w14:textId="77777777" w:rsidR="001B0E47" w:rsidRPr="00CC51E7" w:rsidRDefault="001B0E47" w:rsidP="001B0E47">
            <w:pPr>
              <w:tabs>
                <w:tab w:val="left" w:pos="356"/>
                <w:tab w:val="left" w:pos="567"/>
                <w:tab w:val="left" w:pos="2268"/>
              </w:tabs>
              <w:jc w:val="center"/>
              <w:rPr>
                <w:rFonts w:ascii="Garamond" w:hAnsi="Garamond"/>
                <w:sz w:val="22"/>
              </w:rPr>
            </w:pPr>
          </w:p>
          <w:p w14:paraId="2C542DE6" w14:textId="77777777" w:rsidR="001B0E47" w:rsidRPr="00CC51E7" w:rsidRDefault="001B0E47" w:rsidP="001B0E47">
            <w:pPr>
              <w:tabs>
                <w:tab w:val="left" w:pos="356"/>
                <w:tab w:val="left" w:pos="567"/>
                <w:tab w:val="left" w:pos="2268"/>
              </w:tabs>
              <w:rPr>
                <w:rFonts w:ascii="Garamond" w:hAnsi="Garamond"/>
                <w:sz w:val="22"/>
              </w:rPr>
            </w:pPr>
          </w:p>
          <w:p w14:paraId="1BDC2F93" w14:textId="77777777" w:rsidR="001B0E47" w:rsidRDefault="001B0E47" w:rsidP="001B0E47">
            <w:pPr>
              <w:tabs>
                <w:tab w:val="left" w:pos="567"/>
                <w:tab w:val="left" w:pos="2268"/>
              </w:tabs>
              <w:jc w:val="center"/>
              <w:rPr>
                <w:rFonts w:ascii="Garamond" w:hAnsi="Garamond"/>
                <w:sz w:val="22"/>
                <w:lang w:val="fr-BE"/>
              </w:rPr>
            </w:pPr>
            <w:r>
              <w:rPr>
                <w:rFonts w:ascii="Garamond" w:hAnsi="Garamond"/>
                <w:sz w:val="22"/>
                <w:lang w:val="fr-BE"/>
              </w:rPr>
              <w:t>Frank VANDENBROUCKE</w:t>
            </w:r>
          </w:p>
          <w:p w14:paraId="3060708A" w14:textId="624F6B81" w:rsidR="001B0E47" w:rsidRPr="00FD3692" w:rsidRDefault="001B0E47" w:rsidP="001B0E47">
            <w:pPr>
              <w:tabs>
                <w:tab w:val="left" w:pos="567"/>
                <w:tab w:val="left" w:pos="2268"/>
              </w:tabs>
              <w:jc w:val="center"/>
              <w:rPr>
                <w:rFonts w:ascii="Garamond" w:hAnsi="Garamond"/>
                <w:sz w:val="22"/>
                <w:lang w:val="fr-BE"/>
              </w:rPr>
            </w:pPr>
          </w:p>
        </w:tc>
      </w:tr>
      <w:tr w:rsidR="001B0E47" w14:paraId="536B3FB9" w14:textId="77777777" w:rsidTr="005C046A">
        <w:tc>
          <w:tcPr>
            <w:tcW w:w="4496" w:type="dxa"/>
            <w:tcBorders>
              <w:top w:val="nil"/>
              <w:left w:val="nil"/>
              <w:bottom w:val="nil"/>
              <w:right w:val="nil"/>
            </w:tcBorders>
          </w:tcPr>
          <w:p w14:paraId="508800D8" w14:textId="5FD15F24" w:rsidR="001B0E47" w:rsidRPr="00B022BA" w:rsidRDefault="001B0E47" w:rsidP="001B0E47">
            <w:pPr>
              <w:tabs>
                <w:tab w:val="left" w:pos="567"/>
                <w:tab w:val="left" w:pos="2268"/>
              </w:tabs>
              <w:jc w:val="center"/>
              <w:rPr>
                <w:rFonts w:ascii="Garamond" w:hAnsi="Garamond"/>
                <w:sz w:val="22"/>
                <w:u w:val="single"/>
                <w:lang w:val="nl-BE"/>
              </w:rPr>
            </w:pPr>
            <w:r w:rsidRPr="005A1493">
              <w:rPr>
                <w:rFonts w:ascii="Garamond" w:hAnsi="Garamond"/>
                <w:sz w:val="22"/>
                <w:lang w:val="fr-BE"/>
              </w:rPr>
              <w:t>L</w:t>
            </w:r>
            <w:r>
              <w:rPr>
                <w:rFonts w:ascii="Garamond" w:hAnsi="Garamond"/>
                <w:sz w:val="22"/>
                <w:lang w:val="fr-BE"/>
              </w:rPr>
              <w:t>e</w:t>
            </w:r>
            <w:r w:rsidRPr="005A1493">
              <w:rPr>
                <w:rFonts w:ascii="Garamond" w:hAnsi="Garamond"/>
                <w:sz w:val="22"/>
                <w:lang w:val="fr-BE"/>
              </w:rPr>
              <w:t xml:space="preserve"> Ministre de l</w:t>
            </w:r>
            <w:r>
              <w:rPr>
                <w:rFonts w:ascii="Garamond" w:hAnsi="Garamond"/>
                <w:sz w:val="22"/>
                <w:lang w:val="fr-BE"/>
              </w:rPr>
              <w:t>’Agriculture,</w:t>
            </w:r>
          </w:p>
        </w:tc>
        <w:tc>
          <w:tcPr>
            <w:tcW w:w="324" w:type="dxa"/>
            <w:tcBorders>
              <w:top w:val="nil"/>
              <w:left w:val="nil"/>
              <w:bottom w:val="nil"/>
              <w:right w:val="nil"/>
            </w:tcBorders>
          </w:tcPr>
          <w:p w14:paraId="0C954CFE" w14:textId="77777777" w:rsidR="001B0E47" w:rsidRPr="00B022BA" w:rsidRDefault="001B0E47" w:rsidP="001B0E47">
            <w:pPr>
              <w:tabs>
                <w:tab w:val="left" w:pos="2410"/>
              </w:tabs>
              <w:jc w:val="both"/>
              <w:rPr>
                <w:rFonts w:ascii="Garamond" w:hAnsi="Garamond"/>
                <w:sz w:val="22"/>
                <w:u w:val="single"/>
                <w:lang w:val="nl-BE"/>
              </w:rPr>
            </w:pPr>
          </w:p>
        </w:tc>
        <w:tc>
          <w:tcPr>
            <w:tcW w:w="4463" w:type="dxa"/>
            <w:tcBorders>
              <w:top w:val="nil"/>
              <w:left w:val="nil"/>
              <w:bottom w:val="nil"/>
              <w:right w:val="nil"/>
            </w:tcBorders>
          </w:tcPr>
          <w:p w14:paraId="56B75CAD" w14:textId="476B098D" w:rsidR="001B0E47" w:rsidRPr="005A1493" w:rsidRDefault="001B0E47" w:rsidP="001B0E47">
            <w:pPr>
              <w:tabs>
                <w:tab w:val="left" w:pos="2410"/>
              </w:tabs>
              <w:jc w:val="center"/>
              <w:rPr>
                <w:rFonts w:ascii="Garamond" w:hAnsi="Garamond"/>
                <w:sz w:val="22"/>
                <w:u w:val="single"/>
                <w:lang w:val="fr-BE"/>
              </w:rPr>
            </w:pPr>
            <w:r w:rsidRPr="00B022BA">
              <w:rPr>
                <w:rFonts w:ascii="Garamond" w:hAnsi="Garamond"/>
                <w:sz w:val="22"/>
                <w:lang w:val="nl-BE"/>
              </w:rPr>
              <w:t xml:space="preserve">De Minister van </w:t>
            </w:r>
            <w:r>
              <w:rPr>
                <w:rFonts w:ascii="Garamond" w:hAnsi="Garamond"/>
                <w:sz w:val="22"/>
                <w:lang w:val="nl-BE"/>
              </w:rPr>
              <w:t>Landbouw</w:t>
            </w:r>
            <w:r w:rsidRPr="005A1493">
              <w:rPr>
                <w:rFonts w:ascii="Garamond" w:hAnsi="Garamond"/>
                <w:sz w:val="22"/>
                <w:lang w:val="fr-BE"/>
              </w:rPr>
              <w:t>,</w:t>
            </w:r>
          </w:p>
        </w:tc>
      </w:tr>
      <w:tr w:rsidR="001B0E47" w14:paraId="716DD67B" w14:textId="77777777" w:rsidTr="00997685">
        <w:trPr>
          <w:cantSplit/>
          <w:trHeight w:val="2723"/>
        </w:trPr>
        <w:tc>
          <w:tcPr>
            <w:tcW w:w="9283" w:type="dxa"/>
            <w:gridSpan w:val="3"/>
            <w:tcBorders>
              <w:top w:val="nil"/>
              <w:left w:val="nil"/>
              <w:bottom w:val="nil"/>
              <w:right w:val="nil"/>
            </w:tcBorders>
          </w:tcPr>
          <w:p w14:paraId="2C44F108" w14:textId="77777777" w:rsidR="001B0E47" w:rsidRDefault="001B0E47" w:rsidP="001B0E47">
            <w:pPr>
              <w:tabs>
                <w:tab w:val="left" w:pos="567"/>
                <w:tab w:val="left" w:pos="2268"/>
              </w:tabs>
              <w:jc w:val="center"/>
              <w:rPr>
                <w:rFonts w:ascii="Garamond" w:hAnsi="Garamond"/>
                <w:sz w:val="22"/>
                <w:lang w:val="fr-BE"/>
              </w:rPr>
            </w:pPr>
          </w:p>
          <w:p w14:paraId="779959EA" w14:textId="09F951C7" w:rsidR="001B0E47" w:rsidRDefault="001B0E47" w:rsidP="001B0E47">
            <w:pPr>
              <w:tabs>
                <w:tab w:val="left" w:pos="567"/>
                <w:tab w:val="left" w:pos="2268"/>
              </w:tabs>
              <w:jc w:val="center"/>
              <w:rPr>
                <w:rFonts w:ascii="Garamond" w:hAnsi="Garamond"/>
                <w:sz w:val="22"/>
                <w:lang w:val="fr-BE"/>
              </w:rPr>
            </w:pPr>
          </w:p>
          <w:p w14:paraId="3CC2E38F" w14:textId="77777777" w:rsidR="001B0E47" w:rsidRDefault="001B0E47" w:rsidP="001B0E47">
            <w:pPr>
              <w:tabs>
                <w:tab w:val="left" w:pos="567"/>
                <w:tab w:val="left" w:pos="2268"/>
              </w:tabs>
              <w:jc w:val="center"/>
              <w:rPr>
                <w:rFonts w:ascii="Garamond" w:hAnsi="Garamond"/>
                <w:sz w:val="22"/>
                <w:lang w:val="fr-BE"/>
              </w:rPr>
            </w:pPr>
          </w:p>
          <w:p w14:paraId="238EB2F8" w14:textId="77777777" w:rsidR="001B0E47" w:rsidRDefault="001B0E47" w:rsidP="001B0E47">
            <w:pPr>
              <w:tabs>
                <w:tab w:val="left" w:pos="567"/>
                <w:tab w:val="left" w:pos="2268"/>
              </w:tabs>
              <w:jc w:val="center"/>
              <w:rPr>
                <w:rFonts w:ascii="Garamond" w:hAnsi="Garamond"/>
                <w:sz w:val="22"/>
                <w:lang w:val="fr-BE"/>
              </w:rPr>
            </w:pPr>
          </w:p>
          <w:p w14:paraId="787B7B70" w14:textId="6919C99B" w:rsidR="001B0E47" w:rsidRDefault="001B0E47" w:rsidP="001B0E47">
            <w:pPr>
              <w:tabs>
                <w:tab w:val="left" w:pos="567"/>
                <w:tab w:val="left" w:pos="2268"/>
              </w:tabs>
              <w:jc w:val="center"/>
              <w:rPr>
                <w:rFonts w:ascii="Garamond" w:hAnsi="Garamond"/>
                <w:sz w:val="22"/>
                <w:lang w:val="fr-BE"/>
              </w:rPr>
            </w:pPr>
          </w:p>
          <w:p w14:paraId="1D5829C9" w14:textId="77777777" w:rsidR="001B0E47" w:rsidRDefault="001B0E47" w:rsidP="001B0E47">
            <w:pPr>
              <w:tabs>
                <w:tab w:val="left" w:pos="567"/>
                <w:tab w:val="left" w:pos="2268"/>
              </w:tabs>
              <w:jc w:val="center"/>
              <w:rPr>
                <w:rFonts w:ascii="Garamond" w:hAnsi="Garamond"/>
                <w:sz w:val="22"/>
                <w:lang w:val="fr-BE"/>
              </w:rPr>
            </w:pPr>
          </w:p>
          <w:p w14:paraId="65B2F755" w14:textId="1DC52FC5" w:rsidR="001B0E47" w:rsidRDefault="001B0E47" w:rsidP="001B0E47">
            <w:pPr>
              <w:tabs>
                <w:tab w:val="left" w:pos="567"/>
                <w:tab w:val="left" w:pos="2268"/>
              </w:tabs>
              <w:jc w:val="center"/>
              <w:rPr>
                <w:rFonts w:ascii="Garamond" w:hAnsi="Garamond"/>
                <w:sz w:val="22"/>
                <w:lang w:val="fr-BE"/>
              </w:rPr>
            </w:pPr>
          </w:p>
          <w:p w14:paraId="30C64F31" w14:textId="77777777" w:rsidR="001B0E47" w:rsidRDefault="001B0E47" w:rsidP="001B0E47">
            <w:pPr>
              <w:tabs>
                <w:tab w:val="left" w:pos="567"/>
                <w:tab w:val="left" w:pos="2268"/>
              </w:tabs>
              <w:jc w:val="center"/>
              <w:rPr>
                <w:rFonts w:ascii="Garamond" w:hAnsi="Garamond"/>
                <w:sz w:val="22"/>
                <w:lang w:val="fr-BE"/>
              </w:rPr>
            </w:pPr>
          </w:p>
          <w:p w14:paraId="0670C529" w14:textId="77777777" w:rsidR="001B0E47" w:rsidRDefault="001B0E47" w:rsidP="001B0E47">
            <w:pPr>
              <w:tabs>
                <w:tab w:val="left" w:pos="567"/>
                <w:tab w:val="left" w:pos="2268"/>
              </w:tabs>
              <w:jc w:val="center"/>
              <w:rPr>
                <w:rFonts w:ascii="Garamond" w:hAnsi="Garamond"/>
                <w:sz w:val="22"/>
                <w:lang w:val="fr-BE"/>
              </w:rPr>
            </w:pPr>
          </w:p>
          <w:p w14:paraId="08D109BF" w14:textId="14D15550" w:rsidR="001B0E47" w:rsidRDefault="001B0E47" w:rsidP="001B0E47">
            <w:pPr>
              <w:tabs>
                <w:tab w:val="left" w:pos="567"/>
                <w:tab w:val="left" w:pos="2268"/>
              </w:tabs>
              <w:jc w:val="center"/>
              <w:rPr>
                <w:rFonts w:ascii="Garamond" w:hAnsi="Garamond"/>
                <w:sz w:val="22"/>
                <w:lang w:val="fr-BE"/>
              </w:rPr>
            </w:pPr>
          </w:p>
          <w:p w14:paraId="3DC2A086" w14:textId="77777777" w:rsidR="001B0E47" w:rsidRDefault="001B0E47" w:rsidP="001B0E47">
            <w:pPr>
              <w:tabs>
                <w:tab w:val="left" w:pos="567"/>
                <w:tab w:val="left" w:pos="2268"/>
              </w:tabs>
              <w:jc w:val="center"/>
              <w:rPr>
                <w:rFonts w:ascii="Garamond" w:hAnsi="Garamond"/>
                <w:sz w:val="22"/>
                <w:lang w:val="fr-BE"/>
              </w:rPr>
            </w:pPr>
          </w:p>
          <w:p w14:paraId="0A120C48" w14:textId="652F82EE" w:rsidR="001B0E47" w:rsidRDefault="001B0E47" w:rsidP="001B0E47">
            <w:pPr>
              <w:tabs>
                <w:tab w:val="left" w:pos="567"/>
                <w:tab w:val="left" w:pos="2268"/>
              </w:tabs>
              <w:jc w:val="center"/>
              <w:rPr>
                <w:rFonts w:ascii="Garamond" w:hAnsi="Garamond"/>
                <w:sz w:val="22"/>
                <w:lang w:val="fr-BE"/>
              </w:rPr>
            </w:pPr>
            <w:r>
              <w:rPr>
                <w:rFonts w:ascii="Garamond" w:hAnsi="Garamond"/>
                <w:sz w:val="22"/>
                <w:lang w:val="fr-BE"/>
              </w:rPr>
              <w:t>David CLARINVAL</w:t>
            </w:r>
          </w:p>
        </w:tc>
      </w:tr>
    </w:tbl>
    <w:p w14:paraId="07B5FD49" w14:textId="08C41392" w:rsidR="00B248A6" w:rsidRDefault="00B248A6" w:rsidP="00E36AE7">
      <w:pPr>
        <w:tabs>
          <w:tab w:val="left" w:pos="356"/>
          <w:tab w:val="left" w:pos="567"/>
          <w:tab w:val="left" w:pos="2268"/>
        </w:tabs>
        <w:jc w:val="both"/>
        <w:rPr>
          <w:rFonts w:ascii="Garamond" w:hAnsi="Garamond"/>
          <w:sz w:val="22"/>
          <w:lang w:val="fr-BE"/>
        </w:rPr>
      </w:pPr>
    </w:p>
    <w:sectPr w:rsidR="00B248A6">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1F51" w14:textId="77777777" w:rsidR="00CE4A6E" w:rsidRDefault="00CE4A6E" w:rsidP="00B022BA">
      <w:r>
        <w:separator/>
      </w:r>
    </w:p>
  </w:endnote>
  <w:endnote w:type="continuationSeparator" w:id="0">
    <w:p w14:paraId="5D64A3DA" w14:textId="77777777" w:rsidR="00CE4A6E" w:rsidRDefault="00CE4A6E" w:rsidP="00B0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0B47" w14:textId="77777777" w:rsidR="004B7D74" w:rsidRDefault="004B7D7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550A433" w14:textId="77777777" w:rsidR="004B7D74" w:rsidRDefault="004B7D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78651"/>
      <w:docPartObj>
        <w:docPartGallery w:val="Page Numbers (Bottom of Page)"/>
        <w:docPartUnique/>
      </w:docPartObj>
    </w:sdtPr>
    <w:sdtEndPr/>
    <w:sdtContent>
      <w:p w14:paraId="4D680239" w14:textId="79E6F284" w:rsidR="004B7D74" w:rsidRDefault="004B7D74">
        <w:pPr>
          <w:pStyle w:val="Pieddepage"/>
          <w:jc w:val="center"/>
        </w:pPr>
        <w:r>
          <w:fldChar w:fldCharType="begin"/>
        </w:r>
        <w:r>
          <w:instrText>PAGE   \* MERGEFORMAT</w:instrText>
        </w:r>
        <w:r>
          <w:fldChar w:fldCharType="separate"/>
        </w:r>
        <w:r w:rsidR="008F603D">
          <w:rPr>
            <w:noProof/>
          </w:rPr>
          <w:t>7</w:t>
        </w:r>
        <w:r>
          <w:fldChar w:fldCharType="end"/>
        </w:r>
      </w:p>
    </w:sdtContent>
  </w:sdt>
  <w:p w14:paraId="06254837" w14:textId="06823CED" w:rsidR="004B7D74" w:rsidRDefault="004B7D74">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2681" w14:textId="77777777" w:rsidR="00CE4A6E" w:rsidRDefault="00CE4A6E" w:rsidP="00B022BA">
      <w:r>
        <w:separator/>
      </w:r>
    </w:p>
  </w:footnote>
  <w:footnote w:type="continuationSeparator" w:id="0">
    <w:p w14:paraId="16097300" w14:textId="77777777" w:rsidR="00CE4A6E" w:rsidRDefault="00CE4A6E" w:rsidP="00B0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FE42" w14:textId="77777777" w:rsidR="004B7D74" w:rsidRDefault="004B7D7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CCFA61" w14:textId="77777777" w:rsidR="004B7D74" w:rsidRDefault="004B7D7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1D22" w14:textId="44AC6336" w:rsidR="004B7D74" w:rsidRPr="000D5117" w:rsidRDefault="004B7D74">
    <w:pPr>
      <w:pStyle w:val="En-tte"/>
      <w:ind w:right="360"/>
      <w:rPr>
        <w: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379"/>
    <w:multiLevelType w:val="hybridMultilevel"/>
    <w:tmpl w:val="31527208"/>
    <w:lvl w:ilvl="0" w:tplc="7444C81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78367F"/>
    <w:multiLevelType w:val="hybridMultilevel"/>
    <w:tmpl w:val="1BF87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8AE"/>
    <w:multiLevelType w:val="hybridMultilevel"/>
    <w:tmpl w:val="C18E0E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1D2054"/>
    <w:multiLevelType w:val="hybridMultilevel"/>
    <w:tmpl w:val="6A4EA39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9915F1"/>
    <w:multiLevelType w:val="hybridMultilevel"/>
    <w:tmpl w:val="6734C832"/>
    <w:lvl w:ilvl="0" w:tplc="75A4ACB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8D5561E"/>
    <w:multiLevelType w:val="hybridMultilevel"/>
    <w:tmpl w:val="A194217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656277"/>
    <w:multiLevelType w:val="hybridMultilevel"/>
    <w:tmpl w:val="3ECA4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315D"/>
    <w:multiLevelType w:val="hybridMultilevel"/>
    <w:tmpl w:val="2D9067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456025B"/>
    <w:multiLevelType w:val="hybridMultilevel"/>
    <w:tmpl w:val="B7221B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74334DA"/>
    <w:multiLevelType w:val="hybridMultilevel"/>
    <w:tmpl w:val="CA0A6AAE"/>
    <w:lvl w:ilvl="0" w:tplc="64A6CD54">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A24CA"/>
    <w:multiLevelType w:val="hybridMultilevel"/>
    <w:tmpl w:val="5D70024A"/>
    <w:lvl w:ilvl="0" w:tplc="C9428504">
      <w:start w:val="5"/>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6E6074"/>
    <w:multiLevelType w:val="hybridMultilevel"/>
    <w:tmpl w:val="007CE880"/>
    <w:lvl w:ilvl="0" w:tplc="838E51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66378C2"/>
    <w:multiLevelType w:val="hybridMultilevel"/>
    <w:tmpl w:val="3E34D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36729"/>
    <w:multiLevelType w:val="hybridMultilevel"/>
    <w:tmpl w:val="7C7296E6"/>
    <w:lvl w:ilvl="0" w:tplc="77267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A5E1C"/>
    <w:multiLevelType w:val="hybridMultilevel"/>
    <w:tmpl w:val="15A607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C4A4007"/>
    <w:multiLevelType w:val="hybridMultilevel"/>
    <w:tmpl w:val="5EF2E6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C5852C9"/>
    <w:multiLevelType w:val="hybridMultilevel"/>
    <w:tmpl w:val="D44E7592"/>
    <w:lvl w:ilvl="0" w:tplc="6B9CB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806EF"/>
    <w:multiLevelType w:val="hybridMultilevel"/>
    <w:tmpl w:val="AE6C11B0"/>
    <w:lvl w:ilvl="0" w:tplc="5C64E5E2">
      <w:start w:val="1"/>
      <w:numFmt w:val="decimal"/>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2F22489"/>
    <w:multiLevelType w:val="hybridMultilevel"/>
    <w:tmpl w:val="D4B8227E"/>
    <w:lvl w:ilvl="0" w:tplc="84D8EF10">
      <w:start w:val="1"/>
      <w:numFmt w:val="lowerLetter"/>
      <w:lvlText w:val="%1)"/>
      <w:lvlJc w:val="left"/>
      <w:pPr>
        <w:ind w:left="825" w:hanging="46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F1705DD"/>
    <w:multiLevelType w:val="hybridMultilevel"/>
    <w:tmpl w:val="659808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0C57CAE"/>
    <w:multiLevelType w:val="hybridMultilevel"/>
    <w:tmpl w:val="770EDC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D9A4BA9"/>
    <w:multiLevelType w:val="hybridMultilevel"/>
    <w:tmpl w:val="5420AB5C"/>
    <w:lvl w:ilvl="0" w:tplc="80BC3CA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0"/>
  </w:num>
  <w:num w:numId="5">
    <w:abstractNumId w:val="10"/>
  </w:num>
  <w:num w:numId="6">
    <w:abstractNumId w:val="4"/>
  </w:num>
  <w:num w:numId="7">
    <w:abstractNumId w:val="21"/>
  </w:num>
  <w:num w:numId="8">
    <w:abstractNumId w:val="11"/>
  </w:num>
  <w:num w:numId="9">
    <w:abstractNumId w:val="15"/>
  </w:num>
  <w:num w:numId="10">
    <w:abstractNumId w:val="18"/>
  </w:num>
  <w:num w:numId="11">
    <w:abstractNumId w:val="14"/>
  </w:num>
  <w:num w:numId="12">
    <w:abstractNumId w:val="5"/>
  </w:num>
  <w:num w:numId="13">
    <w:abstractNumId w:val="7"/>
  </w:num>
  <w:num w:numId="14">
    <w:abstractNumId w:val="8"/>
  </w:num>
  <w:num w:numId="15">
    <w:abstractNumId w:val="3"/>
  </w:num>
  <w:num w:numId="16">
    <w:abstractNumId w:val="2"/>
  </w:num>
  <w:num w:numId="17">
    <w:abstractNumId w:val="12"/>
  </w:num>
  <w:num w:numId="18">
    <w:abstractNumId w:val="6"/>
  </w:num>
  <w:num w:numId="19">
    <w:abstractNumId w:val="1"/>
  </w:num>
  <w:num w:numId="20">
    <w:abstractNumId w:val="1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BA"/>
    <w:rsid w:val="00000298"/>
    <w:rsid w:val="00000530"/>
    <w:rsid w:val="0000536C"/>
    <w:rsid w:val="0001123D"/>
    <w:rsid w:val="0001322C"/>
    <w:rsid w:val="00022AC6"/>
    <w:rsid w:val="00022F84"/>
    <w:rsid w:val="00026468"/>
    <w:rsid w:val="00027B15"/>
    <w:rsid w:val="00030852"/>
    <w:rsid w:val="00031843"/>
    <w:rsid w:val="0003485F"/>
    <w:rsid w:val="00034B43"/>
    <w:rsid w:val="0004676A"/>
    <w:rsid w:val="0005075B"/>
    <w:rsid w:val="000527EE"/>
    <w:rsid w:val="000528CD"/>
    <w:rsid w:val="0005310E"/>
    <w:rsid w:val="00056B8D"/>
    <w:rsid w:val="000576BF"/>
    <w:rsid w:val="00063362"/>
    <w:rsid w:val="000727DD"/>
    <w:rsid w:val="00072C53"/>
    <w:rsid w:val="0007371E"/>
    <w:rsid w:val="00075321"/>
    <w:rsid w:val="00075A35"/>
    <w:rsid w:val="00075CB8"/>
    <w:rsid w:val="000812D2"/>
    <w:rsid w:val="000813CB"/>
    <w:rsid w:val="00081652"/>
    <w:rsid w:val="00082215"/>
    <w:rsid w:val="000834F3"/>
    <w:rsid w:val="00086D72"/>
    <w:rsid w:val="00091CAF"/>
    <w:rsid w:val="000936AF"/>
    <w:rsid w:val="00093D0B"/>
    <w:rsid w:val="00095432"/>
    <w:rsid w:val="00095953"/>
    <w:rsid w:val="000A12F3"/>
    <w:rsid w:val="000A39D1"/>
    <w:rsid w:val="000B2645"/>
    <w:rsid w:val="000C0D0A"/>
    <w:rsid w:val="000D0FB4"/>
    <w:rsid w:val="000D5117"/>
    <w:rsid w:val="000E0862"/>
    <w:rsid w:val="000E3E34"/>
    <w:rsid w:val="000E5479"/>
    <w:rsid w:val="000E66D9"/>
    <w:rsid w:val="000E7EB4"/>
    <w:rsid w:val="000F0B61"/>
    <w:rsid w:val="000F4E74"/>
    <w:rsid w:val="000F7467"/>
    <w:rsid w:val="00104F62"/>
    <w:rsid w:val="0010635E"/>
    <w:rsid w:val="00114D32"/>
    <w:rsid w:val="001218CB"/>
    <w:rsid w:val="00122EEB"/>
    <w:rsid w:val="00123D79"/>
    <w:rsid w:val="001244F8"/>
    <w:rsid w:val="00130403"/>
    <w:rsid w:val="00130E0F"/>
    <w:rsid w:val="00132D9B"/>
    <w:rsid w:val="0013508B"/>
    <w:rsid w:val="00135BD6"/>
    <w:rsid w:val="00152CD5"/>
    <w:rsid w:val="001642AD"/>
    <w:rsid w:val="00165A24"/>
    <w:rsid w:val="00175AD2"/>
    <w:rsid w:val="00177E6A"/>
    <w:rsid w:val="00181D7F"/>
    <w:rsid w:val="00181E2C"/>
    <w:rsid w:val="00182200"/>
    <w:rsid w:val="00184A2F"/>
    <w:rsid w:val="00185841"/>
    <w:rsid w:val="00185852"/>
    <w:rsid w:val="00185E4D"/>
    <w:rsid w:val="0018608D"/>
    <w:rsid w:val="00191D20"/>
    <w:rsid w:val="00193196"/>
    <w:rsid w:val="001936AC"/>
    <w:rsid w:val="00194EA7"/>
    <w:rsid w:val="001A3C2E"/>
    <w:rsid w:val="001A487F"/>
    <w:rsid w:val="001A64B0"/>
    <w:rsid w:val="001B0E47"/>
    <w:rsid w:val="001B11D5"/>
    <w:rsid w:val="001B120F"/>
    <w:rsid w:val="001C469A"/>
    <w:rsid w:val="001D0F42"/>
    <w:rsid w:val="001D2C3F"/>
    <w:rsid w:val="001D2CA2"/>
    <w:rsid w:val="001D5703"/>
    <w:rsid w:val="001D7D89"/>
    <w:rsid w:val="001E231D"/>
    <w:rsid w:val="001F0E3E"/>
    <w:rsid w:val="001F0F13"/>
    <w:rsid w:val="001F1252"/>
    <w:rsid w:val="001F598E"/>
    <w:rsid w:val="001F7AE1"/>
    <w:rsid w:val="002004ED"/>
    <w:rsid w:val="00202F00"/>
    <w:rsid w:val="00204BF8"/>
    <w:rsid w:val="00204E3A"/>
    <w:rsid w:val="0020663A"/>
    <w:rsid w:val="00206BAF"/>
    <w:rsid w:val="00214A1B"/>
    <w:rsid w:val="00215653"/>
    <w:rsid w:val="0021601B"/>
    <w:rsid w:val="00216E5F"/>
    <w:rsid w:val="0021765A"/>
    <w:rsid w:val="00220523"/>
    <w:rsid w:val="002206AC"/>
    <w:rsid w:val="00222C8A"/>
    <w:rsid w:val="00230980"/>
    <w:rsid w:val="0023152F"/>
    <w:rsid w:val="002333B2"/>
    <w:rsid w:val="002364CF"/>
    <w:rsid w:val="002409E2"/>
    <w:rsid w:val="00240F9C"/>
    <w:rsid w:val="00243092"/>
    <w:rsid w:val="002432D3"/>
    <w:rsid w:val="00250E8F"/>
    <w:rsid w:val="00252DA2"/>
    <w:rsid w:val="002531A9"/>
    <w:rsid w:val="00253435"/>
    <w:rsid w:val="0025564E"/>
    <w:rsid w:val="00255F50"/>
    <w:rsid w:val="002571A5"/>
    <w:rsid w:val="0027151B"/>
    <w:rsid w:val="0028231A"/>
    <w:rsid w:val="00286CF7"/>
    <w:rsid w:val="00291775"/>
    <w:rsid w:val="00293D3D"/>
    <w:rsid w:val="00295ABC"/>
    <w:rsid w:val="002A179F"/>
    <w:rsid w:val="002A3B7D"/>
    <w:rsid w:val="002A415D"/>
    <w:rsid w:val="002B1379"/>
    <w:rsid w:val="002B2C61"/>
    <w:rsid w:val="002B5F6D"/>
    <w:rsid w:val="002B6571"/>
    <w:rsid w:val="002B72E7"/>
    <w:rsid w:val="002C23BB"/>
    <w:rsid w:val="002C2E11"/>
    <w:rsid w:val="002D0C33"/>
    <w:rsid w:val="002D1698"/>
    <w:rsid w:val="002D414F"/>
    <w:rsid w:val="002D4666"/>
    <w:rsid w:val="002D4B2D"/>
    <w:rsid w:val="002D6958"/>
    <w:rsid w:val="002D72DE"/>
    <w:rsid w:val="002D73D9"/>
    <w:rsid w:val="002E7DE2"/>
    <w:rsid w:val="002F0A73"/>
    <w:rsid w:val="002F18DD"/>
    <w:rsid w:val="002F28BC"/>
    <w:rsid w:val="00301A30"/>
    <w:rsid w:val="003020D5"/>
    <w:rsid w:val="0030215F"/>
    <w:rsid w:val="0030315B"/>
    <w:rsid w:val="0030324C"/>
    <w:rsid w:val="003060D5"/>
    <w:rsid w:val="0031469E"/>
    <w:rsid w:val="003166C3"/>
    <w:rsid w:val="00317E24"/>
    <w:rsid w:val="00320784"/>
    <w:rsid w:val="00321F46"/>
    <w:rsid w:val="00324955"/>
    <w:rsid w:val="00325BE4"/>
    <w:rsid w:val="00327C18"/>
    <w:rsid w:val="00331D47"/>
    <w:rsid w:val="0033290D"/>
    <w:rsid w:val="0033416B"/>
    <w:rsid w:val="00336225"/>
    <w:rsid w:val="0033763A"/>
    <w:rsid w:val="00341D23"/>
    <w:rsid w:val="00346D57"/>
    <w:rsid w:val="00350A21"/>
    <w:rsid w:val="0036174E"/>
    <w:rsid w:val="00361ACA"/>
    <w:rsid w:val="00363CF0"/>
    <w:rsid w:val="0036444D"/>
    <w:rsid w:val="003652C7"/>
    <w:rsid w:val="003671D1"/>
    <w:rsid w:val="00371C08"/>
    <w:rsid w:val="00373091"/>
    <w:rsid w:val="0037611E"/>
    <w:rsid w:val="00376DEA"/>
    <w:rsid w:val="003772A5"/>
    <w:rsid w:val="00382536"/>
    <w:rsid w:val="00384F58"/>
    <w:rsid w:val="00385A0A"/>
    <w:rsid w:val="0038618B"/>
    <w:rsid w:val="00392C1A"/>
    <w:rsid w:val="00393CDE"/>
    <w:rsid w:val="00393F66"/>
    <w:rsid w:val="00394C09"/>
    <w:rsid w:val="003955A7"/>
    <w:rsid w:val="00396D3D"/>
    <w:rsid w:val="003A00EE"/>
    <w:rsid w:val="003A1E63"/>
    <w:rsid w:val="003A26AA"/>
    <w:rsid w:val="003A3A04"/>
    <w:rsid w:val="003B2228"/>
    <w:rsid w:val="003B39A7"/>
    <w:rsid w:val="003B49CC"/>
    <w:rsid w:val="003B4E8D"/>
    <w:rsid w:val="003B5B5F"/>
    <w:rsid w:val="003B5B87"/>
    <w:rsid w:val="003B6972"/>
    <w:rsid w:val="003C2408"/>
    <w:rsid w:val="003C4E33"/>
    <w:rsid w:val="003C5274"/>
    <w:rsid w:val="003C61CA"/>
    <w:rsid w:val="003C7320"/>
    <w:rsid w:val="003D3A10"/>
    <w:rsid w:val="003D59CC"/>
    <w:rsid w:val="003E3CBB"/>
    <w:rsid w:val="003E5BDC"/>
    <w:rsid w:val="003E6096"/>
    <w:rsid w:val="003F3520"/>
    <w:rsid w:val="003F4990"/>
    <w:rsid w:val="00400606"/>
    <w:rsid w:val="00400921"/>
    <w:rsid w:val="004078BB"/>
    <w:rsid w:val="0041563F"/>
    <w:rsid w:val="00415B85"/>
    <w:rsid w:val="0041731C"/>
    <w:rsid w:val="00421ADE"/>
    <w:rsid w:val="00424A58"/>
    <w:rsid w:val="00425032"/>
    <w:rsid w:val="0042581D"/>
    <w:rsid w:val="00426B7A"/>
    <w:rsid w:val="0043055E"/>
    <w:rsid w:val="004341BA"/>
    <w:rsid w:val="00434291"/>
    <w:rsid w:val="00440DFF"/>
    <w:rsid w:val="0044181E"/>
    <w:rsid w:val="004422E2"/>
    <w:rsid w:val="0044540A"/>
    <w:rsid w:val="00445F21"/>
    <w:rsid w:val="004521C7"/>
    <w:rsid w:val="00455B64"/>
    <w:rsid w:val="00455D17"/>
    <w:rsid w:val="0045691A"/>
    <w:rsid w:val="004605C3"/>
    <w:rsid w:val="00461599"/>
    <w:rsid w:val="00462427"/>
    <w:rsid w:val="00465D2D"/>
    <w:rsid w:val="00474292"/>
    <w:rsid w:val="00474E44"/>
    <w:rsid w:val="00475FD1"/>
    <w:rsid w:val="004763D5"/>
    <w:rsid w:val="00481AE8"/>
    <w:rsid w:val="00481C6D"/>
    <w:rsid w:val="00483474"/>
    <w:rsid w:val="00492AAE"/>
    <w:rsid w:val="00495BF6"/>
    <w:rsid w:val="004A40DF"/>
    <w:rsid w:val="004A5524"/>
    <w:rsid w:val="004A5526"/>
    <w:rsid w:val="004A5A37"/>
    <w:rsid w:val="004A5CF5"/>
    <w:rsid w:val="004B2467"/>
    <w:rsid w:val="004B2B73"/>
    <w:rsid w:val="004B2FFD"/>
    <w:rsid w:val="004B3509"/>
    <w:rsid w:val="004B6976"/>
    <w:rsid w:val="004B7D74"/>
    <w:rsid w:val="004C2B5E"/>
    <w:rsid w:val="004C3ACD"/>
    <w:rsid w:val="004C3E80"/>
    <w:rsid w:val="004C5B69"/>
    <w:rsid w:val="004D0E22"/>
    <w:rsid w:val="004D244E"/>
    <w:rsid w:val="004D3ED5"/>
    <w:rsid w:val="004D4078"/>
    <w:rsid w:val="004E10D5"/>
    <w:rsid w:val="004E3D06"/>
    <w:rsid w:val="004E44E2"/>
    <w:rsid w:val="004E4C72"/>
    <w:rsid w:val="004E5F07"/>
    <w:rsid w:val="004F043B"/>
    <w:rsid w:val="004F2510"/>
    <w:rsid w:val="004F5F68"/>
    <w:rsid w:val="0050067E"/>
    <w:rsid w:val="0050258E"/>
    <w:rsid w:val="00502F8E"/>
    <w:rsid w:val="00505EA5"/>
    <w:rsid w:val="00513F99"/>
    <w:rsid w:val="00514970"/>
    <w:rsid w:val="005152F2"/>
    <w:rsid w:val="00524E06"/>
    <w:rsid w:val="00535DF1"/>
    <w:rsid w:val="005401FC"/>
    <w:rsid w:val="00541764"/>
    <w:rsid w:val="0054455B"/>
    <w:rsid w:val="00546B2B"/>
    <w:rsid w:val="0055025E"/>
    <w:rsid w:val="00550B34"/>
    <w:rsid w:val="00550E0F"/>
    <w:rsid w:val="00552774"/>
    <w:rsid w:val="00553255"/>
    <w:rsid w:val="0055719C"/>
    <w:rsid w:val="00561A6B"/>
    <w:rsid w:val="00561F44"/>
    <w:rsid w:val="00563B90"/>
    <w:rsid w:val="00563E90"/>
    <w:rsid w:val="005655D7"/>
    <w:rsid w:val="005674BA"/>
    <w:rsid w:val="00573E63"/>
    <w:rsid w:val="00576669"/>
    <w:rsid w:val="0057704E"/>
    <w:rsid w:val="005845C7"/>
    <w:rsid w:val="00585324"/>
    <w:rsid w:val="0058536D"/>
    <w:rsid w:val="005860A6"/>
    <w:rsid w:val="00586339"/>
    <w:rsid w:val="005870A7"/>
    <w:rsid w:val="00587410"/>
    <w:rsid w:val="005935CE"/>
    <w:rsid w:val="00595707"/>
    <w:rsid w:val="005A1493"/>
    <w:rsid w:val="005A1870"/>
    <w:rsid w:val="005A3D3D"/>
    <w:rsid w:val="005A48A2"/>
    <w:rsid w:val="005A5081"/>
    <w:rsid w:val="005A668A"/>
    <w:rsid w:val="005A7DB0"/>
    <w:rsid w:val="005B07B7"/>
    <w:rsid w:val="005B4D31"/>
    <w:rsid w:val="005B5890"/>
    <w:rsid w:val="005C046A"/>
    <w:rsid w:val="005C0A5C"/>
    <w:rsid w:val="005C105D"/>
    <w:rsid w:val="005C2310"/>
    <w:rsid w:val="005D0D5E"/>
    <w:rsid w:val="005D109D"/>
    <w:rsid w:val="005D622D"/>
    <w:rsid w:val="005D74C1"/>
    <w:rsid w:val="005E0269"/>
    <w:rsid w:val="005E092E"/>
    <w:rsid w:val="005E1154"/>
    <w:rsid w:val="005E3C90"/>
    <w:rsid w:val="005E5541"/>
    <w:rsid w:val="005F0860"/>
    <w:rsid w:val="005F4BBA"/>
    <w:rsid w:val="00600E65"/>
    <w:rsid w:val="00601C1F"/>
    <w:rsid w:val="006042E5"/>
    <w:rsid w:val="006044FA"/>
    <w:rsid w:val="00604DC7"/>
    <w:rsid w:val="00610820"/>
    <w:rsid w:val="00612F7E"/>
    <w:rsid w:val="0061475A"/>
    <w:rsid w:val="006173E8"/>
    <w:rsid w:val="00620516"/>
    <w:rsid w:val="00623BBE"/>
    <w:rsid w:val="00624418"/>
    <w:rsid w:val="0062589C"/>
    <w:rsid w:val="00626276"/>
    <w:rsid w:val="00627CBB"/>
    <w:rsid w:val="00632F55"/>
    <w:rsid w:val="00633364"/>
    <w:rsid w:val="00633912"/>
    <w:rsid w:val="00633BC6"/>
    <w:rsid w:val="00635FEC"/>
    <w:rsid w:val="00636F1D"/>
    <w:rsid w:val="0064124D"/>
    <w:rsid w:val="00642850"/>
    <w:rsid w:val="00644217"/>
    <w:rsid w:val="0064653C"/>
    <w:rsid w:val="0064694A"/>
    <w:rsid w:val="00646D8C"/>
    <w:rsid w:val="00653DAA"/>
    <w:rsid w:val="00654DF6"/>
    <w:rsid w:val="00656C48"/>
    <w:rsid w:val="006601A0"/>
    <w:rsid w:val="00661CAF"/>
    <w:rsid w:val="00663634"/>
    <w:rsid w:val="00665F3C"/>
    <w:rsid w:val="0066613D"/>
    <w:rsid w:val="00667EA3"/>
    <w:rsid w:val="006738A5"/>
    <w:rsid w:val="00673912"/>
    <w:rsid w:val="00674A6A"/>
    <w:rsid w:val="00674E2E"/>
    <w:rsid w:val="00682680"/>
    <w:rsid w:val="00686AF4"/>
    <w:rsid w:val="006873F2"/>
    <w:rsid w:val="006916E2"/>
    <w:rsid w:val="00695889"/>
    <w:rsid w:val="006A5987"/>
    <w:rsid w:val="006A6FA6"/>
    <w:rsid w:val="006B1690"/>
    <w:rsid w:val="006B260D"/>
    <w:rsid w:val="006B331C"/>
    <w:rsid w:val="006C0D3F"/>
    <w:rsid w:val="006C2948"/>
    <w:rsid w:val="006C3DC2"/>
    <w:rsid w:val="006C78A9"/>
    <w:rsid w:val="006D0C48"/>
    <w:rsid w:val="006D7EF7"/>
    <w:rsid w:val="006E0B70"/>
    <w:rsid w:val="006E2830"/>
    <w:rsid w:val="006E39CC"/>
    <w:rsid w:val="006E46D3"/>
    <w:rsid w:val="006E50AF"/>
    <w:rsid w:val="006E52F5"/>
    <w:rsid w:val="006F0000"/>
    <w:rsid w:val="006F203A"/>
    <w:rsid w:val="006F6AE7"/>
    <w:rsid w:val="006F6F30"/>
    <w:rsid w:val="00700B62"/>
    <w:rsid w:val="00704410"/>
    <w:rsid w:val="007062B5"/>
    <w:rsid w:val="007110AB"/>
    <w:rsid w:val="00714120"/>
    <w:rsid w:val="00716F8A"/>
    <w:rsid w:val="00720C4F"/>
    <w:rsid w:val="00721DE3"/>
    <w:rsid w:val="00721E22"/>
    <w:rsid w:val="00722401"/>
    <w:rsid w:val="007257CC"/>
    <w:rsid w:val="00725B02"/>
    <w:rsid w:val="0072604D"/>
    <w:rsid w:val="0073060F"/>
    <w:rsid w:val="007312E0"/>
    <w:rsid w:val="00733235"/>
    <w:rsid w:val="00735A78"/>
    <w:rsid w:val="00736B37"/>
    <w:rsid w:val="0074248D"/>
    <w:rsid w:val="0074342A"/>
    <w:rsid w:val="00744746"/>
    <w:rsid w:val="007468F9"/>
    <w:rsid w:val="0074753B"/>
    <w:rsid w:val="00750531"/>
    <w:rsid w:val="00753A36"/>
    <w:rsid w:val="00756385"/>
    <w:rsid w:val="00756F24"/>
    <w:rsid w:val="00761B03"/>
    <w:rsid w:val="00762B75"/>
    <w:rsid w:val="00764E47"/>
    <w:rsid w:val="00765512"/>
    <w:rsid w:val="00765A7A"/>
    <w:rsid w:val="00765F60"/>
    <w:rsid w:val="00767316"/>
    <w:rsid w:val="00781E83"/>
    <w:rsid w:val="00782B5B"/>
    <w:rsid w:val="00783AE9"/>
    <w:rsid w:val="00783E0F"/>
    <w:rsid w:val="00796983"/>
    <w:rsid w:val="0079739E"/>
    <w:rsid w:val="007A1412"/>
    <w:rsid w:val="007A7D3E"/>
    <w:rsid w:val="007B1F3F"/>
    <w:rsid w:val="007B222A"/>
    <w:rsid w:val="007C1815"/>
    <w:rsid w:val="007C4669"/>
    <w:rsid w:val="007C4A2B"/>
    <w:rsid w:val="007C4D72"/>
    <w:rsid w:val="007C5725"/>
    <w:rsid w:val="007D3630"/>
    <w:rsid w:val="007D5B70"/>
    <w:rsid w:val="007E11A1"/>
    <w:rsid w:val="007E451A"/>
    <w:rsid w:val="007E5C03"/>
    <w:rsid w:val="007E67C4"/>
    <w:rsid w:val="007F0AF4"/>
    <w:rsid w:val="00800DB5"/>
    <w:rsid w:val="00802558"/>
    <w:rsid w:val="008027A6"/>
    <w:rsid w:val="00804984"/>
    <w:rsid w:val="00804BA8"/>
    <w:rsid w:val="00806CBB"/>
    <w:rsid w:val="00807C99"/>
    <w:rsid w:val="00811870"/>
    <w:rsid w:val="0081273B"/>
    <w:rsid w:val="00815B77"/>
    <w:rsid w:val="0082131E"/>
    <w:rsid w:val="00824B45"/>
    <w:rsid w:val="00824B97"/>
    <w:rsid w:val="00831238"/>
    <w:rsid w:val="00832C12"/>
    <w:rsid w:val="0083312A"/>
    <w:rsid w:val="00835D0B"/>
    <w:rsid w:val="008363D2"/>
    <w:rsid w:val="0084621F"/>
    <w:rsid w:val="008466CF"/>
    <w:rsid w:val="008522C2"/>
    <w:rsid w:val="00852A5C"/>
    <w:rsid w:val="0085523C"/>
    <w:rsid w:val="008624C5"/>
    <w:rsid w:val="00862B29"/>
    <w:rsid w:val="008648F0"/>
    <w:rsid w:val="00865DE1"/>
    <w:rsid w:val="0087071F"/>
    <w:rsid w:val="00871868"/>
    <w:rsid w:val="008756C5"/>
    <w:rsid w:val="00875A54"/>
    <w:rsid w:val="008816AD"/>
    <w:rsid w:val="00883585"/>
    <w:rsid w:val="00884C9E"/>
    <w:rsid w:val="00886FC0"/>
    <w:rsid w:val="00890CCA"/>
    <w:rsid w:val="00896729"/>
    <w:rsid w:val="00896777"/>
    <w:rsid w:val="00897785"/>
    <w:rsid w:val="008A3CD3"/>
    <w:rsid w:val="008A66A2"/>
    <w:rsid w:val="008B395F"/>
    <w:rsid w:val="008B41AF"/>
    <w:rsid w:val="008B7C48"/>
    <w:rsid w:val="008C4DE4"/>
    <w:rsid w:val="008C7C24"/>
    <w:rsid w:val="008C7F0E"/>
    <w:rsid w:val="008D1D62"/>
    <w:rsid w:val="008D1E3F"/>
    <w:rsid w:val="008D2087"/>
    <w:rsid w:val="008D6B47"/>
    <w:rsid w:val="008D745B"/>
    <w:rsid w:val="008E31D7"/>
    <w:rsid w:val="008E5405"/>
    <w:rsid w:val="008F21FA"/>
    <w:rsid w:val="008F27FA"/>
    <w:rsid w:val="008F39B9"/>
    <w:rsid w:val="008F603D"/>
    <w:rsid w:val="008F694A"/>
    <w:rsid w:val="009115B2"/>
    <w:rsid w:val="0091204D"/>
    <w:rsid w:val="00913A18"/>
    <w:rsid w:val="0091467F"/>
    <w:rsid w:val="00916D13"/>
    <w:rsid w:val="00917D84"/>
    <w:rsid w:val="00920225"/>
    <w:rsid w:val="00923046"/>
    <w:rsid w:val="00923AA3"/>
    <w:rsid w:val="0092459C"/>
    <w:rsid w:val="009249DC"/>
    <w:rsid w:val="009276FA"/>
    <w:rsid w:val="009279B3"/>
    <w:rsid w:val="00930AC9"/>
    <w:rsid w:val="009318D1"/>
    <w:rsid w:val="00932689"/>
    <w:rsid w:val="00933707"/>
    <w:rsid w:val="009363B9"/>
    <w:rsid w:val="009414D5"/>
    <w:rsid w:val="00945E37"/>
    <w:rsid w:val="00952CEC"/>
    <w:rsid w:val="00953924"/>
    <w:rsid w:val="00957C1E"/>
    <w:rsid w:val="0096030C"/>
    <w:rsid w:val="009620A6"/>
    <w:rsid w:val="009774D7"/>
    <w:rsid w:val="00977525"/>
    <w:rsid w:val="00983180"/>
    <w:rsid w:val="00983657"/>
    <w:rsid w:val="00983B49"/>
    <w:rsid w:val="00986763"/>
    <w:rsid w:val="00991076"/>
    <w:rsid w:val="00993419"/>
    <w:rsid w:val="0099556C"/>
    <w:rsid w:val="009960B6"/>
    <w:rsid w:val="00996DD7"/>
    <w:rsid w:val="00997685"/>
    <w:rsid w:val="009A06A5"/>
    <w:rsid w:val="009A36A2"/>
    <w:rsid w:val="009A4D6A"/>
    <w:rsid w:val="009A5EC9"/>
    <w:rsid w:val="009B05F7"/>
    <w:rsid w:val="009B572F"/>
    <w:rsid w:val="009B61B6"/>
    <w:rsid w:val="009B7AC7"/>
    <w:rsid w:val="009C0834"/>
    <w:rsid w:val="009C08CD"/>
    <w:rsid w:val="009C118B"/>
    <w:rsid w:val="009C16F7"/>
    <w:rsid w:val="009C38C3"/>
    <w:rsid w:val="009C72F0"/>
    <w:rsid w:val="009D14F7"/>
    <w:rsid w:val="009D4FC3"/>
    <w:rsid w:val="009D5CB5"/>
    <w:rsid w:val="009D6F56"/>
    <w:rsid w:val="009D758C"/>
    <w:rsid w:val="009E1D0B"/>
    <w:rsid w:val="009E23CB"/>
    <w:rsid w:val="009E396F"/>
    <w:rsid w:val="009E3AAD"/>
    <w:rsid w:val="009E7922"/>
    <w:rsid w:val="009F044E"/>
    <w:rsid w:val="009F2690"/>
    <w:rsid w:val="009F60ED"/>
    <w:rsid w:val="00A003E7"/>
    <w:rsid w:val="00A00E4B"/>
    <w:rsid w:val="00A00F68"/>
    <w:rsid w:val="00A01613"/>
    <w:rsid w:val="00A031CA"/>
    <w:rsid w:val="00A03271"/>
    <w:rsid w:val="00A04EA9"/>
    <w:rsid w:val="00A04EFF"/>
    <w:rsid w:val="00A0592B"/>
    <w:rsid w:val="00A05C13"/>
    <w:rsid w:val="00A05D33"/>
    <w:rsid w:val="00A07D74"/>
    <w:rsid w:val="00A17308"/>
    <w:rsid w:val="00A22EEE"/>
    <w:rsid w:val="00A2550D"/>
    <w:rsid w:val="00A3006E"/>
    <w:rsid w:val="00A33257"/>
    <w:rsid w:val="00A33BE9"/>
    <w:rsid w:val="00A4120F"/>
    <w:rsid w:val="00A415AE"/>
    <w:rsid w:val="00A458F9"/>
    <w:rsid w:val="00A45D38"/>
    <w:rsid w:val="00A555AB"/>
    <w:rsid w:val="00A57220"/>
    <w:rsid w:val="00A60761"/>
    <w:rsid w:val="00A61DBB"/>
    <w:rsid w:val="00A65FA7"/>
    <w:rsid w:val="00A67470"/>
    <w:rsid w:val="00A70AC3"/>
    <w:rsid w:val="00A7210F"/>
    <w:rsid w:val="00A7389A"/>
    <w:rsid w:val="00A753A0"/>
    <w:rsid w:val="00A818A2"/>
    <w:rsid w:val="00A8492F"/>
    <w:rsid w:val="00A91E19"/>
    <w:rsid w:val="00A92142"/>
    <w:rsid w:val="00AA1CD5"/>
    <w:rsid w:val="00AA1DBB"/>
    <w:rsid w:val="00AA221D"/>
    <w:rsid w:val="00AA323F"/>
    <w:rsid w:val="00AB26D8"/>
    <w:rsid w:val="00AB38F8"/>
    <w:rsid w:val="00AB4219"/>
    <w:rsid w:val="00AB5C58"/>
    <w:rsid w:val="00AB5C9B"/>
    <w:rsid w:val="00AC2B5B"/>
    <w:rsid w:val="00AC5FCF"/>
    <w:rsid w:val="00AC781D"/>
    <w:rsid w:val="00AD0C40"/>
    <w:rsid w:val="00AD0D47"/>
    <w:rsid w:val="00AD422C"/>
    <w:rsid w:val="00AD5063"/>
    <w:rsid w:val="00AD5ECC"/>
    <w:rsid w:val="00AE23F3"/>
    <w:rsid w:val="00AE4BA3"/>
    <w:rsid w:val="00AE55E1"/>
    <w:rsid w:val="00AE55F4"/>
    <w:rsid w:val="00AE5CC0"/>
    <w:rsid w:val="00AF04E9"/>
    <w:rsid w:val="00AF280E"/>
    <w:rsid w:val="00AF3EF2"/>
    <w:rsid w:val="00AF4411"/>
    <w:rsid w:val="00AF546D"/>
    <w:rsid w:val="00AF6256"/>
    <w:rsid w:val="00AF629C"/>
    <w:rsid w:val="00AF6BFC"/>
    <w:rsid w:val="00AF6DCD"/>
    <w:rsid w:val="00B000EE"/>
    <w:rsid w:val="00B01865"/>
    <w:rsid w:val="00B01FD2"/>
    <w:rsid w:val="00B022BA"/>
    <w:rsid w:val="00B03E0B"/>
    <w:rsid w:val="00B04529"/>
    <w:rsid w:val="00B06CE4"/>
    <w:rsid w:val="00B11403"/>
    <w:rsid w:val="00B16A46"/>
    <w:rsid w:val="00B17164"/>
    <w:rsid w:val="00B22149"/>
    <w:rsid w:val="00B226BE"/>
    <w:rsid w:val="00B231D6"/>
    <w:rsid w:val="00B245B4"/>
    <w:rsid w:val="00B248A6"/>
    <w:rsid w:val="00B26FC6"/>
    <w:rsid w:val="00B32B15"/>
    <w:rsid w:val="00B36A74"/>
    <w:rsid w:val="00B371C3"/>
    <w:rsid w:val="00B40E15"/>
    <w:rsid w:val="00B44B83"/>
    <w:rsid w:val="00B50944"/>
    <w:rsid w:val="00B51266"/>
    <w:rsid w:val="00B5235E"/>
    <w:rsid w:val="00B53269"/>
    <w:rsid w:val="00B54C05"/>
    <w:rsid w:val="00B5513F"/>
    <w:rsid w:val="00B578F1"/>
    <w:rsid w:val="00B602ED"/>
    <w:rsid w:val="00B6407C"/>
    <w:rsid w:val="00B64F80"/>
    <w:rsid w:val="00B658A7"/>
    <w:rsid w:val="00B660BE"/>
    <w:rsid w:val="00B71C1E"/>
    <w:rsid w:val="00B80A11"/>
    <w:rsid w:val="00B87A7D"/>
    <w:rsid w:val="00B90444"/>
    <w:rsid w:val="00B9323E"/>
    <w:rsid w:val="00B95247"/>
    <w:rsid w:val="00BA2964"/>
    <w:rsid w:val="00BA5C05"/>
    <w:rsid w:val="00BA70EC"/>
    <w:rsid w:val="00BA73CB"/>
    <w:rsid w:val="00BB0D28"/>
    <w:rsid w:val="00BB2C68"/>
    <w:rsid w:val="00BB5736"/>
    <w:rsid w:val="00BB58E7"/>
    <w:rsid w:val="00BB640F"/>
    <w:rsid w:val="00BB7E34"/>
    <w:rsid w:val="00BC0C1F"/>
    <w:rsid w:val="00BC10D5"/>
    <w:rsid w:val="00BC2961"/>
    <w:rsid w:val="00BC2F2E"/>
    <w:rsid w:val="00BC2FC9"/>
    <w:rsid w:val="00BC2FD7"/>
    <w:rsid w:val="00BD1949"/>
    <w:rsid w:val="00BD54EE"/>
    <w:rsid w:val="00BD61D8"/>
    <w:rsid w:val="00BD7C02"/>
    <w:rsid w:val="00BE062A"/>
    <w:rsid w:val="00BE0F95"/>
    <w:rsid w:val="00BE1223"/>
    <w:rsid w:val="00BE131A"/>
    <w:rsid w:val="00BE1BA1"/>
    <w:rsid w:val="00BE4DAB"/>
    <w:rsid w:val="00BE6A6B"/>
    <w:rsid w:val="00BE7B21"/>
    <w:rsid w:val="00BF3895"/>
    <w:rsid w:val="00BF3D5F"/>
    <w:rsid w:val="00BF676A"/>
    <w:rsid w:val="00C04D69"/>
    <w:rsid w:val="00C05D38"/>
    <w:rsid w:val="00C0636F"/>
    <w:rsid w:val="00C06F2F"/>
    <w:rsid w:val="00C104E3"/>
    <w:rsid w:val="00C11ECC"/>
    <w:rsid w:val="00C12D96"/>
    <w:rsid w:val="00C133C2"/>
    <w:rsid w:val="00C13B50"/>
    <w:rsid w:val="00C14A25"/>
    <w:rsid w:val="00C1628E"/>
    <w:rsid w:val="00C17539"/>
    <w:rsid w:val="00C17769"/>
    <w:rsid w:val="00C179E2"/>
    <w:rsid w:val="00C20439"/>
    <w:rsid w:val="00C21154"/>
    <w:rsid w:val="00C22D59"/>
    <w:rsid w:val="00C23D74"/>
    <w:rsid w:val="00C24332"/>
    <w:rsid w:val="00C2699B"/>
    <w:rsid w:val="00C30859"/>
    <w:rsid w:val="00C30B2E"/>
    <w:rsid w:val="00C31B36"/>
    <w:rsid w:val="00C31B80"/>
    <w:rsid w:val="00C35E6B"/>
    <w:rsid w:val="00C40990"/>
    <w:rsid w:val="00C446AF"/>
    <w:rsid w:val="00C46B4F"/>
    <w:rsid w:val="00C47A2E"/>
    <w:rsid w:val="00C525FF"/>
    <w:rsid w:val="00C53D35"/>
    <w:rsid w:val="00C54464"/>
    <w:rsid w:val="00C60152"/>
    <w:rsid w:val="00C634A1"/>
    <w:rsid w:val="00C64D3D"/>
    <w:rsid w:val="00C700B0"/>
    <w:rsid w:val="00C75336"/>
    <w:rsid w:val="00C755CC"/>
    <w:rsid w:val="00C8107B"/>
    <w:rsid w:val="00C83215"/>
    <w:rsid w:val="00C907F6"/>
    <w:rsid w:val="00C938BA"/>
    <w:rsid w:val="00C9542E"/>
    <w:rsid w:val="00C9628C"/>
    <w:rsid w:val="00C9722E"/>
    <w:rsid w:val="00C97480"/>
    <w:rsid w:val="00CA503D"/>
    <w:rsid w:val="00CA5764"/>
    <w:rsid w:val="00CB05FF"/>
    <w:rsid w:val="00CB2A20"/>
    <w:rsid w:val="00CB570F"/>
    <w:rsid w:val="00CB58ED"/>
    <w:rsid w:val="00CB7049"/>
    <w:rsid w:val="00CB789B"/>
    <w:rsid w:val="00CC0CCA"/>
    <w:rsid w:val="00CC1755"/>
    <w:rsid w:val="00CC191A"/>
    <w:rsid w:val="00CC51E7"/>
    <w:rsid w:val="00CC593B"/>
    <w:rsid w:val="00CC6391"/>
    <w:rsid w:val="00CD305F"/>
    <w:rsid w:val="00CD3A21"/>
    <w:rsid w:val="00CD6C22"/>
    <w:rsid w:val="00CD73C0"/>
    <w:rsid w:val="00CE225B"/>
    <w:rsid w:val="00CE4A6E"/>
    <w:rsid w:val="00CE5092"/>
    <w:rsid w:val="00CE6104"/>
    <w:rsid w:val="00CE66A8"/>
    <w:rsid w:val="00CE7AE1"/>
    <w:rsid w:val="00CF1B37"/>
    <w:rsid w:val="00CF2D5F"/>
    <w:rsid w:val="00CF7547"/>
    <w:rsid w:val="00CF771F"/>
    <w:rsid w:val="00CF78C0"/>
    <w:rsid w:val="00D022CB"/>
    <w:rsid w:val="00D04F4B"/>
    <w:rsid w:val="00D05309"/>
    <w:rsid w:val="00D055C0"/>
    <w:rsid w:val="00D07CFB"/>
    <w:rsid w:val="00D1770F"/>
    <w:rsid w:val="00D17DA7"/>
    <w:rsid w:val="00D201EC"/>
    <w:rsid w:val="00D20CE0"/>
    <w:rsid w:val="00D2232C"/>
    <w:rsid w:val="00D22449"/>
    <w:rsid w:val="00D31B54"/>
    <w:rsid w:val="00D32C29"/>
    <w:rsid w:val="00D3501A"/>
    <w:rsid w:val="00D35B58"/>
    <w:rsid w:val="00D43C1A"/>
    <w:rsid w:val="00D45CC5"/>
    <w:rsid w:val="00D51EA3"/>
    <w:rsid w:val="00D614EA"/>
    <w:rsid w:val="00D61734"/>
    <w:rsid w:val="00D63BED"/>
    <w:rsid w:val="00D66981"/>
    <w:rsid w:val="00D7101F"/>
    <w:rsid w:val="00D85166"/>
    <w:rsid w:val="00D914F9"/>
    <w:rsid w:val="00D919E4"/>
    <w:rsid w:val="00D92FE7"/>
    <w:rsid w:val="00D94C01"/>
    <w:rsid w:val="00DA1BDF"/>
    <w:rsid w:val="00DA261D"/>
    <w:rsid w:val="00DA33A5"/>
    <w:rsid w:val="00DA3D10"/>
    <w:rsid w:val="00DA50F9"/>
    <w:rsid w:val="00DA5481"/>
    <w:rsid w:val="00DA7FC1"/>
    <w:rsid w:val="00DB0868"/>
    <w:rsid w:val="00DB159B"/>
    <w:rsid w:val="00DB3401"/>
    <w:rsid w:val="00DB35EA"/>
    <w:rsid w:val="00DB5409"/>
    <w:rsid w:val="00DB57FA"/>
    <w:rsid w:val="00DB7022"/>
    <w:rsid w:val="00DC208E"/>
    <w:rsid w:val="00DC5D4C"/>
    <w:rsid w:val="00DC6558"/>
    <w:rsid w:val="00DC78A0"/>
    <w:rsid w:val="00DD1B89"/>
    <w:rsid w:val="00DD4D8B"/>
    <w:rsid w:val="00DD4FCC"/>
    <w:rsid w:val="00DD556C"/>
    <w:rsid w:val="00DD6512"/>
    <w:rsid w:val="00DF0F68"/>
    <w:rsid w:val="00DF37CA"/>
    <w:rsid w:val="00DF4D5C"/>
    <w:rsid w:val="00DF5B56"/>
    <w:rsid w:val="00E04E1A"/>
    <w:rsid w:val="00E10DB1"/>
    <w:rsid w:val="00E117D1"/>
    <w:rsid w:val="00E14543"/>
    <w:rsid w:val="00E15031"/>
    <w:rsid w:val="00E165DF"/>
    <w:rsid w:val="00E203AE"/>
    <w:rsid w:val="00E26619"/>
    <w:rsid w:val="00E31D29"/>
    <w:rsid w:val="00E33022"/>
    <w:rsid w:val="00E36AE7"/>
    <w:rsid w:val="00E41283"/>
    <w:rsid w:val="00E47B2E"/>
    <w:rsid w:val="00E56B5B"/>
    <w:rsid w:val="00E60649"/>
    <w:rsid w:val="00E67810"/>
    <w:rsid w:val="00E729A1"/>
    <w:rsid w:val="00E74A6F"/>
    <w:rsid w:val="00E74ABE"/>
    <w:rsid w:val="00E8167A"/>
    <w:rsid w:val="00E84B54"/>
    <w:rsid w:val="00E86D07"/>
    <w:rsid w:val="00E87804"/>
    <w:rsid w:val="00E919D5"/>
    <w:rsid w:val="00E9356D"/>
    <w:rsid w:val="00E93ED3"/>
    <w:rsid w:val="00E94EEE"/>
    <w:rsid w:val="00E954D9"/>
    <w:rsid w:val="00E962ED"/>
    <w:rsid w:val="00E97A15"/>
    <w:rsid w:val="00EA0A24"/>
    <w:rsid w:val="00EA2866"/>
    <w:rsid w:val="00EA3C54"/>
    <w:rsid w:val="00EA6794"/>
    <w:rsid w:val="00EB0BAB"/>
    <w:rsid w:val="00EB3621"/>
    <w:rsid w:val="00EB3716"/>
    <w:rsid w:val="00EC1ABE"/>
    <w:rsid w:val="00EC1D8B"/>
    <w:rsid w:val="00EC46C8"/>
    <w:rsid w:val="00EC4A17"/>
    <w:rsid w:val="00EC5340"/>
    <w:rsid w:val="00EC7D8A"/>
    <w:rsid w:val="00ED0033"/>
    <w:rsid w:val="00ED0757"/>
    <w:rsid w:val="00ED59EA"/>
    <w:rsid w:val="00EE0A1E"/>
    <w:rsid w:val="00EE0B5A"/>
    <w:rsid w:val="00EE28D5"/>
    <w:rsid w:val="00EE2F7F"/>
    <w:rsid w:val="00EE5FA0"/>
    <w:rsid w:val="00EE774A"/>
    <w:rsid w:val="00EF260E"/>
    <w:rsid w:val="00EF4351"/>
    <w:rsid w:val="00EF7513"/>
    <w:rsid w:val="00F00968"/>
    <w:rsid w:val="00F01048"/>
    <w:rsid w:val="00F0357D"/>
    <w:rsid w:val="00F03805"/>
    <w:rsid w:val="00F10047"/>
    <w:rsid w:val="00F107E8"/>
    <w:rsid w:val="00F12F29"/>
    <w:rsid w:val="00F1413F"/>
    <w:rsid w:val="00F14DB2"/>
    <w:rsid w:val="00F14EC7"/>
    <w:rsid w:val="00F15719"/>
    <w:rsid w:val="00F26DAB"/>
    <w:rsid w:val="00F3363D"/>
    <w:rsid w:val="00F37F8E"/>
    <w:rsid w:val="00F40E73"/>
    <w:rsid w:val="00F419DE"/>
    <w:rsid w:val="00F43861"/>
    <w:rsid w:val="00F45DEA"/>
    <w:rsid w:val="00F474E8"/>
    <w:rsid w:val="00F527D2"/>
    <w:rsid w:val="00F52985"/>
    <w:rsid w:val="00F55C8D"/>
    <w:rsid w:val="00F562ED"/>
    <w:rsid w:val="00F56DB3"/>
    <w:rsid w:val="00F5765D"/>
    <w:rsid w:val="00F57F47"/>
    <w:rsid w:val="00F600D8"/>
    <w:rsid w:val="00F60540"/>
    <w:rsid w:val="00F60B3B"/>
    <w:rsid w:val="00F70A75"/>
    <w:rsid w:val="00F72D2A"/>
    <w:rsid w:val="00F74863"/>
    <w:rsid w:val="00F7496F"/>
    <w:rsid w:val="00F76C95"/>
    <w:rsid w:val="00F805FE"/>
    <w:rsid w:val="00F81A05"/>
    <w:rsid w:val="00F83454"/>
    <w:rsid w:val="00F86F40"/>
    <w:rsid w:val="00F958E3"/>
    <w:rsid w:val="00F976FA"/>
    <w:rsid w:val="00FA0637"/>
    <w:rsid w:val="00FA0E5A"/>
    <w:rsid w:val="00FA12D4"/>
    <w:rsid w:val="00FA7259"/>
    <w:rsid w:val="00FB015B"/>
    <w:rsid w:val="00FB5288"/>
    <w:rsid w:val="00FB6522"/>
    <w:rsid w:val="00FC0769"/>
    <w:rsid w:val="00FC32C1"/>
    <w:rsid w:val="00FC582B"/>
    <w:rsid w:val="00FC59E1"/>
    <w:rsid w:val="00FC5D84"/>
    <w:rsid w:val="00FD28A5"/>
    <w:rsid w:val="00FD2EE8"/>
    <w:rsid w:val="00FD3692"/>
    <w:rsid w:val="00FD3B27"/>
    <w:rsid w:val="00FE0E78"/>
    <w:rsid w:val="00FE1986"/>
    <w:rsid w:val="00FE2AAA"/>
    <w:rsid w:val="00FE4827"/>
    <w:rsid w:val="00FE5B74"/>
    <w:rsid w:val="00FE7255"/>
    <w:rsid w:val="00FF0F13"/>
    <w:rsid w:val="00FF4539"/>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683C6"/>
  <w15:docId w15:val="{B19DE096-BB58-436A-B70F-45D7B0F8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2BA"/>
    <w:rPr>
      <w:lang w:val="fr-FR" w:eastAsia="nl-NL"/>
    </w:rPr>
  </w:style>
  <w:style w:type="paragraph" w:styleId="Titre1">
    <w:name w:val="heading 1"/>
    <w:basedOn w:val="Normal"/>
    <w:next w:val="Normal"/>
    <w:link w:val="Titre1Car"/>
    <w:qFormat/>
    <w:rsid w:val="00B022BA"/>
    <w:pPr>
      <w:keepNext/>
      <w:tabs>
        <w:tab w:val="left" w:pos="567"/>
        <w:tab w:val="left" w:pos="2410"/>
      </w:tabs>
      <w:jc w:val="both"/>
      <w:outlineLvl w:val="0"/>
    </w:pPr>
    <w:rPr>
      <w:sz w:val="24"/>
    </w:rPr>
  </w:style>
  <w:style w:type="paragraph" w:styleId="Titre2">
    <w:name w:val="heading 2"/>
    <w:basedOn w:val="Normal"/>
    <w:next w:val="Normal"/>
    <w:link w:val="Titre2Car"/>
    <w:qFormat/>
    <w:rsid w:val="00B022BA"/>
    <w:pPr>
      <w:keepNext/>
      <w:jc w:val="center"/>
      <w:outlineLvl w:val="1"/>
    </w:pPr>
    <w:rPr>
      <w:b/>
    </w:rPr>
  </w:style>
  <w:style w:type="paragraph" w:styleId="Titre3">
    <w:name w:val="heading 3"/>
    <w:basedOn w:val="Normal"/>
    <w:next w:val="Normal"/>
    <w:link w:val="Titre3Car"/>
    <w:qFormat/>
    <w:rsid w:val="00B022BA"/>
    <w:pPr>
      <w:keepNext/>
      <w:outlineLvl w:val="2"/>
    </w:pPr>
    <w:rPr>
      <w:b/>
    </w:rPr>
  </w:style>
  <w:style w:type="paragraph" w:styleId="Titre9">
    <w:name w:val="heading 9"/>
    <w:basedOn w:val="Normal"/>
    <w:next w:val="Normal"/>
    <w:link w:val="Titre9Car"/>
    <w:qFormat/>
    <w:rsid w:val="00B022BA"/>
    <w:pPr>
      <w:keepNext/>
      <w:tabs>
        <w:tab w:val="left" w:pos="567"/>
        <w:tab w:val="left" w:pos="2268"/>
      </w:tabs>
      <w:jc w:val="both"/>
      <w:outlineLvl w:val="8"/>
    </w:pPr>
    <w:rPr>
      <w:i/>
      <w:iCs/>
      <w:sz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22BA"/>
    <w:rPr>
      <w:sz w:val="24"/>
      <w:lang w:val="fr-FR" w:eastAsia="nl-NL"/>
    </w:rPr>
  </w:style>
  <w:style w:type="character" w:customStyle="1" w:styleId="Titre2Car">
    <w:name w:val="Titre 2 Car"/>
    <w:basedOn w:val="Policepardfaut"/>
    <w:link w:val="Titre2"/>
    <w:rsid w:val="00B022BA"/>
    <w:rPr>
      <w:b/>
      <w:lang w:val="fr-FR" w:eastAsia="nl-NL"/>
    </w:rPr>
  </w:style>
  <w:style w:type="character" w:customStyle="1" w:styleId="Titre3Car">
    <w:name w:val="Titre 3 Car"/>
    <w:basedOn w:val="Policepardfaut"/>
    <w:link w:val="Titre3"/>
    <w:rsid w:val="00B022BA"/>
    <w:rPr>
      <w:b/>
      <w:lang w:val="fr-FR" w:eastAsia="nl-NL"/>
    </w:rPr>
  </w:style>
  <w:style w:type="character" w:customStyle="1" w:styleId="Titre9Car">
    <w:name w:val="Titre 9 Car"/>
    <w:basedOn w:val="Policepardfaut"/>
    <w:link w:val="Titre9"/>
    <w:rsid w:val="00B022BA"/>
    <w:rPr>
      <w:i/>
      <w:iCs/>
      <w:sz w:val="22"/>
      <w:lang w:val="nl-NL" w:eastAsia="nl-NL"/>
    </w:rPr>
  </w:style>
  <w:style w:type="paragraph" w:styleId="Pieddepage">
    <w:name w:val="footer"/>
    <w:basedOn w:val="Normal"/>
    <w:link w:val="PieddepageCar"/>
    <w:uiPriority w:val="99"/>
    <w:rsid w:val="00B022BA"/>
    <w:pPr>
      <w:tabs>
        <w:tab w:val="center" w:pos="4536"/>
        <w:tab w:val="right" w:pos="9072"/>
      </w:tabs>
    </w:pPr>
  </w:style>
  <w:style w:type="character" w:customStyle="1" w:styleId="PieddepageCar">
    <w:name w:val="Pied de page Car"/>
    <w:basedOn w:val="Policepardfaut"/>
    <w:link w:val="Pieddepage"/>
    <w:uiPriority w:val="99"/>
    <w:rsid w:val="00B022BA"/>
    <w:rPr>
      <w:lang w:val="fr-FR" w:eastAsia="nl-NL"/>
    </w:rPr>
  </w:style>
  <w:style w:type="character" w:styleId="Numrodepage">
    <w:name w:val="page number"/>
    <w:basedOn w:val="Policepardfaut"/>
    <w:rsid w:val="00B022BA"/>
  </w:style>
  <w:style w:type="paragraph" w:styleId="En-tte">
    <w:name w:val="header"/>
    <w:basedOn w:val="Normal"/>
    <w:link w:val="En-tteCar"/>
    <w:rsid w:val="00B022BA"/>
    <w:pPr>
      <w:tabs>
        <w:tab w:val="center" w:pos="4536"/>
        <w:tab w:val="right" w:pos="9072"/>
      </w:tabs>
    </w:pPr>
  </w:style>
  <w:style w:type="character" w:customStyle="1" w:styleId="En-tteCar">
    <w:name w:val="En-tête Car"/>
    <w:basedOn w:val="Policepardfaut"/>
    <w:link w:val="En-tte"/>
    <w:rsid w:val="00B022BA"/>
    <w:rPr>
      <w:lang w:val="fr-FR" w:eastAsia="nl-NL"/>
    </w:rPr>
  </w:style>
  <w:style w:type="paragraph" w:styleId="Corpsdetexte">
    <w:name w:val="Body Text"/>
    <w:basedOn w:val="Normal"/>
    <w:link w:val="CorpsdetexteCar"/>
    <w:rsid w:val="00B022BA"/>
    <w:pPr>
      <w:tabs>
        <w:tab w:val="left" w:pos="2410"/>
      </w:tabs>
      <w:jc w:val="both"/>
    </w:pPr>
    <w:rPr>
      <w:sz w:val="22"/>
    </w:rPr>
  </w:style>
  <w:style w:type="character" w:customStyle="1" w:styleId="CorpsdetexteCar">
    <w:name w:val="Corps de texte Car"/>
    <w:basedOn w:val="Policepardfaut"/>
    <w:link w:val="Corpsdetexte"/>
    <w:rsid w:val="00B022BA"/>
    <w:rPr>
      <w:sz w:val="22"/>
      <w:lang w:val="fr-FR" w:eastAsia="nl-NL"/>
    </w:rPr>
  </w:style>
  <w:style w:type="paragraph" w:styleId="Corpsdetexte3">
    <w:name w:val="Body Text 3"/>
    <w:basedOn w:val="Normal"/>
    <w:link w:val="Corpsdetexte3Car"/>
    <w:rsid w:val="00B022BA"/>
    <w:pPr>
      <w:widowControl w:val="0"/>
    </w:pPr>
    <w:rPr>
      <w:snapToGrid w:val="0"/>
      <w:sz w:val="22"/>
      <w:lang w:val="en-US" w:eastAsia="fr-FR"/>
    </w:rPr>
  </w:style>
  <w:style w:type="character" w:customStyle="1" w:styleId="Corpsdetexte3Car">
    <w:name w:val="Corps de texte 3 Car"/>
    <w:basedOn w:val="Policepardfaut"/>
    <w:link w:val="Corpsdetexte3"/>
    <w:rsid w:val="00B022BA"/>
    <w:rPr>
      <w:snapToGrid w:val="0"/>
      <w:sz w:val="22"/>
      <w:lang w:eastAsia="fr-FR"/>
    </w:rPr>
  </w:style>
  <w:style w:type="character" w:styleId="Lienhypertexte">
    <w:name w:val="Hyperlink"/>
    <w:rsid w:val="00B022BA"/>
    <w:rPr>
      <w:color w:val="0000FF"/>
      <w:u w:val="single"/>
    </w:rPr>
  </w:style>
  <w:style w:type="character" w:styleId="Lienhypertextesuivivisit">
    <w:name w:val="FollowedHyperlink"/>
    <w:basedOn w:val="Policepardfaut"/>
    <w:rsid w:val="000812D2"/>
    <w:rPr>
      <w:color w:val="800080" w:themeColor="followedHyperlink"/>
      <w:u w:val="single"/>
    </w:rPr>
  </w:style>
  <w:style w:type="character" w:styleId="Marquedecommentaire">
    <w:name w:val="annotation reference"/>
    <w:basedOn w:val="Policepardfaut"/>
    <w:uiPriority w:val="99"/>
    <w:rsid w:val="00426B7A"/>
    <w:rPr>
      <w:sz w:val="16"/>
      <w:szCs w:val="16"/>
    </w:rPr>
  </w:style>
  <w:style w:type="paragraph" w:styleId="Commentaire">
    <w:name w:val="annotation text"/>
    <w:basedOn w:val="Normal"/>
    <w:link w:val="CommentaireCar"/>
    <w:uiPriority w:val="99"/>
    <w:rsid w:val="00426B7A"/>
  </w:style>
  <w:style w:type="character" w:customStyle="1" w:styleId="CommentaireCar">
    <w:name w:val="Commentaire Car"/>
    <w:basedOn w:val="Policepardfaut"/>
    <w:link w:val="Commentaire"/>
    <w:uiPriority w:val="99"/>
    <w:rsid w:val="00426B7A"/>
    <w:rPr>
      <w:lang w:val="fr-FR" w:eastAsia="nl-NL"/>
    </w:rPr>
  </w:style>
  <w:style w:type="paragraph" w:styleId="Objetducommentaire">
    <w:name w:val="annotation subject"/>
    <w:basedOn w:val="Commentaire"/>
    <w:next w:val="Commentaire"/>
    <w:link w:val="ObjetducommentaireCar"/>
    <w:rsid w:val="00426B7A"/>
    <w:rPr>
      <w:b/>
      <w:bCs/>
    </w:rPr>
  </w:style>
  <w:style w:type="character" w:customStyle="1" w:styleId="ObjetducommentaireCar">
    <w:name w:val="Objet du commentaire Car"/>
    <w:basedOn w:val="CommentaireCar"/>
    <w:link w:val="Objetducommentaire"/>
    <w:rsid w:val="00426B7A"/>
    <w:rPr>
      <w:b/>
      <w:bCs/>
      <w:lang w:val="fr-FR" w:eastAsia="nl-NL"/>
    </w:rPr>
  </w:style>
  <w:style w:type="paragraph" w:styleId="Textedebulles">
    <w:name w:val="Balloon Text"/>
    <w:basedOn w:val="Normal"/>
    <w:link w:val="TextedebullesCar"/>
    <w:rsid w:val="00426B7A"/>
    <w:rPr>
      <w:rFonts w:ascii="Tahoma" w:hAnsi="Tahoma" w:cs="Tahoma"/>
      <w:sz w:val="16"/>
      <w:szCs w:val="16"/>
    </w:rPr>
  </w:style>
  <w:style w:type="character" w:customStyle="1" w:styleId="TextedebullesCar">
    <w:name w:val="Texte de bulles Car"/>
    <w:basedOn w:val="Policepardfaut"/>
    <w:link w:val="Textedebulles"/>
    <w:rsid w:val="00426B7A"/>
    <w:rPr>
      <w:rFonts w:ascii="Tahoma" w:hAnsi="Tahoma" w:cs="Tahoma"/>
      <w:sz w:val="16"/>
      <w:szCs w:val="16"/>
      <w:lang w:val="fr-FR" w:eastAsia="nl-NL"/>
    </w:rPr>
  </w:style>
  <w:style w:type="table" w:styleId="Grilledutableau">
    <w:name w:val="Table Grid"/>
    <w:basedOn w:val="TableauNormal"/>
    <w:rsid w:val="00F6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0B3B"/>
    <w:pPr>
      <w:ind w:left="720"/>
      <w:contextualSpacing/>
    </w:pPr>
  </w:style>
  <w:style w:type="paragraph" w:styleId="Rvision">
    <w:name w:val="Revision"/>
    <w:hidden/>
    <w:uiPriority w:val="99"/>
    <w:semiHidden/>
    <w:rsid w:val="009B05F7"/>
    <w:rPr>
      <w:lang w:val="fr-FR" w:eastAsia="nl-NL"/>
    </w:rPr>
  </w:style>
  <w:style w:type="paragraph" w:customStyle="1" w:styleId="Default">
    <w:name w:val="Default"/>
    <w:rsid w:val="00BB58E7"/>
    <w:pPr>
      <w:autoSpaceDE w:val="0"/>
      <w:autoSpaceDN w:val="0"/>
      <w:adjustRightInd w:val="0"/>
    </w:pPr>
    <w:rPr>
      <w:rFonts w:ascii="EUAlbertina" w:hAnsi="EUAlbertina" w:cs="EUAlbertina"/>
      <w:color w:val="000000"/>
      <w:sz w:val="24"/>
      <w:szCs w:val="24"/>
      <w:lang w:val="fr-BE"/>
    </w:rPr>
  </w:style>
  <w:style w:type="paragraph" w:customStyle="1" w:styleId="CM1">
    <w:name w:val="CM1"/>
    <w:basedOn w:val="Default"/>
    <w:next w:val="Default"/>
    <w:uiPriority w:val="99"/>
    <w:rsid w:val="00BB58E7"/>
    <w:rPr>
      <w:rFonts w:cs="Times New Roman"/>
      <w:color w:val="auto"/>
    </w:rPr>
  </w:style>
  <w:style w:type="paragraph" w:customStyle="1" w:styleId="CM3">
    <w:name w:val="CM3"/>
    <w:basedOn w:val="Default"/>
    <w:next w:val="Default"/>
    <w:uiPriority w:val="99"/>
    <w:rsid w:val="00BB58E7"/>
    <w:rPr>
      <w:rFonts w:cs="Times New Roman"/>
      <w:color w:val="auto"/>
    </w:rPr>
  </w:style>
  <w:style w:type="paragraph" w:customStyle="1" w:styleId="CM4">
    <w:name w:val="CM4"/>
    <w:basedOn w:val="Default"/>
    <w:next w:val="Default"/>
    <w:uiPriority w:val="99"/>
    <w:rsid w:val="005A5081"/>
    <w:rPr>
      <w:rFonts w:ascii="Times New Roman" w:hAnsi="Times New Roman" w:cs="Times New Roman"/>
      <w:color w:val="auto"/>
      <w:lang w:val="en-US"/>
    </w:rPr>
  </w:style>
  <w:style w:type="character" w:customStyle="1" w:styleId="plist">
    <w:name w:val="p_list"/>
    <w:basedOn w:val="Policepardfaut"/>
    <w:rsid w:val="003955A7"/>
  </w:style>
  <w:style w:type="paragraph" w:styleId="NormalWeb">
    <w:name w:val="Normal (Web)"/>
    <w:basedOn w:val="Normal"/>
    <w:uiPriority w:val="99"/>
    <w:unhideWhenUsed/>
    <w:rsid w:val="003955A7"/>
    <w:pPr>
      <w:spacing w:before="100" w:beforeAutospacing="1" w:after="100" w:afterAutospacing="1"/>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2">
      <w:bodyDiv w:val="1"/>
      <w:marLeft w:val="0"/>
      <w:marRight w:val="0"/>
      <w:marTop w:val="0"/>
      <w:marBottom w:val="0"/>
      <w:divBdr>
        <w:top w:val="none" w:sz="0" w:space="0" w:color="auto"/>
        <w:left w:val="none" w:sz="0" w:space="0" w:color="auto"/>
        <w:bottom w:val="none" w:sz="0" w:space="0" w:color="auto"/>
        <w:right w:val="none" w:sz="0" w:space="0" w:color="auto"/>
      </w:divBdr>
      <w:divsChild>
        <w:div w:id="960889877">
          <w:marLeft w:val="0"/>
          <w:marRight w:val="0"/>
          <w:marTop w:val="0"/>
          <w:marBottom w:val="0"/>
          <w:divBdr>
            <w:top w:val="none" w:sz="0" w:space="0" w:color="auto"/>
            <w:left w:val="none" w:sz="0" w:space="0" w:color="auto"/>
            <w:bottom w:val="none" w:sz="0" w:space="0" w:color="auto"/>
            <w:right w:val="none" w:sz="0" w:space="0" w:color="auto"/>
          </w:divBdr>
        </w:div>
        <w:div w:id="658657420">
          <w:marLeft w:val="0"/>
          <w:marRight w:val="0"/>
          <w:marTop w:val="0"/>
          <w:marBottom w:val="0"/>
          <w:divBdr>
            <w:top w:val="none" w:sz="0" w:space="0" w:color="auto"/>
            <w:left w:val="none" w:sz="0" w:space="0" w:color="auto"/>
            <w:bottom w:val="none" w:sz="0" w:space="0" w:color="auto"/>
            <w:right w:val="none" w:sz="0" w:space="0" w:color="auto"/>
          </w:divBdr>
        </w:div>
        <w:div w:id="491064533">
          <w:marLeft w:val="0"/>
          <w:marRight w:val="0"/>
          <w:marTop w:val="0"/>
          <w:marBottom w:val="0"/>
          <w:divBdr>
            <w:top w:val="none" w:sz="0" w:space="0" w:color="auto"/>
            <w:left w:val="none" w:sz="0" w:space="0" w:color="auto"/>
            <w:bottom w:val="none" w:sz="0" w:space="0" w:color="auto"/>
            <w:right w:val="none" w:sz="0" w:space="0" w:color="auto"/>
          </w:divBdr>
        </w:div>
        <w:div w:id="1550023073">
          <w:marLeft w:val="0"/>
          <w:marRight w:val="0"/>
          <w:marTop w:val="0"/>
          <w:marBottom w:val="0"/>
          <w:divBdr>
            <w:top w:val="none" w:sz="0" w:space="0" w:color="auto"/>
            <w:left w:val="none" w:sz="0" w:space="0" w:color="auto"/>
            <w:bottom w:val="none" w:sz="0" w:space="0" w:color="auto"/>
            <w:right w:val="none" w:sz="0" w:space="0" w:color="auto"/>
          </w:divBdr>
        </w:div>
        <w:div w:id="1017197510">
          <w:marLeft w:val="0"/>
          <w:marRight w:val="0"/>
          <w:marTop w:val="0"/>
          <w:marBottom w:val="0"/>
          <w:divBdr>
            <w:top w:val="none" w:sz="0" w:space="0" w:color="auto"/>
            <w:left w:val="none" w:sz="0" w:space="0" w:color="auto"/>
            <w:bottom w:val="none" w:sz="0" w:space="0" w:color="auto"/>
            <w:right w:val="none" w:sz="0" w:space="0" w:color="auto"/>
          </w:divBdr>
        </w:div>
        <w:div w:id="1496651883">
          <w:marLeft w:val="0"/>
          <w:marRight w:val="0"/>
          <w:marTop w:val="0"/>
          <w:marBottom w:val="0"/>
          <w:divBdr>
            <w:top w:val="none" w:sz="0" w:space="0" w:color="auto"/>
            <w:left w:val="none" w:sz="0" w:space="0" w:color="auto"/>
            <w:bottom w:val="none" w:sz="0" w:space="0" w:color="auto"/>
            <w:right w:val="none" w:sz="0" w:space="0" w:color="auto"/>
          </w:divBdr>
        </w:div>
        <w:div w:id="1379819205">
          <w:marLeft w:val="0"/>
          <w:marRight w:val="0"/>
          <w:marTop w:val="0"/>
          <w:marBottom w:val="0"/>
          <w:divBdr>
            <w:top w:val="none" w:sz="0" w:space="0" w:color="auto"/>
            <w:left w:val="none" w:sz="0" w:space="0" w:color="auto"/>
            <w:bottom w:val="none" w:sz="0" w:space="0" w:color="auto"/>
            <w:right w:val="none" w:sz="0" w:space="0" w:color="auto"/>
          </w:divBdr>
        </w:div>
        <w:div w:id="1429815178">
          <w:marLeft w:val="0"/>
          <w:marRight w:val="0"/>
          <w:marTop w:val="0"/>
          <w:marBottom w:val="0"/>
          <w:divBdr>
            <w:top w:val="none" w:sz="0" w:space="0" w:color="auto"/>
            <w:left w:val="none" w:sz="0" w:space="0" w:color="auto"/>
            <w:bottom w:val="none" w:sz="0" w:space="0" w:color="auto"/>
            <w:right w:val="none" w:sz="0" w:space="0" w:color="auto"/>
          </w:divBdr>
        </w:div>
        <w:div w:id="861435733">
          <w:marLeft w:val="0"/>
          <w:marRight w:val="0"/>
          <w:marTop w:val="0"/>
          <w:marBottom w:val="0"/>
          <w:divBdr>
            <w:top w:val="none" w:sz="0" w:space="0" w:color="auto"/>
            <w:left w:val="none" w:sz="0" w:space="0" w:color="auto"/>
            <w:bottom w:val="none" w:sz="0" w:space="0" w:color="auto"/>
            <w:right w:val="none" w:sz="0" w:space="0" w:color="auto"/>
          </w:divBdr>
        </w:div>
        <w:div w:id="677805304">
          <w:marLeft w:val="0"/>
          <w:marRight w:val="0"/>
          <w:marTop w:val="0"/>
          <w:marBottom w:val="0"/>
          <w:divBdr>
            <w:top w:val="none" w:sz="0" w:space="0" w:color="auto"/>
            <w:left w:val="none" w:sz="0" w:space="0" w:color="auto"/>
            <w:bottom w:val="none" w:sz="0" w:space="0" w:color="auto"/>
            <w:right w:val="none" w:sz="0" w:space="0" w:color="auto"/>
          </w:divBdr>
        </w:div>
        <w:div w:id="1946644210">
          <w:marLeft w:val="0"/>
          <w:marRight w:val="0"/>
          <w:marTop w:val="0"/>
          <w:marBottom w:val="0"/>
          <w:divBdr>
            <w:top w:val="none" w:sz="0" w:space="0" w:color="auto"/>
            <w:left w:val="none" w:sz="0" w:space="0" w:color="auto"/>
            <w:bottom w:val="none" w:sz="0" w:space="0" w:color="auto"/>
            <w:right w:val="none" w:sz="0" w:space="0" w:color="auto"/>
          </w:divBdr>
        </w:div>
      </w:divsChild>
    </w:div>
    <w:div w:id="138500839">
      <w:bodyDiv w:val="1"/>
      <w:marLeft w:val="0"/>
      <w:marRight w:val="0"/>
      <w:marTop w:val="0"/>
      <w:marBottom w:val="0"/>
      <w:divBdr>
        <w:top w:val="none" w:sz="0" w:space="0" w:color="auto"/>
        <w:left w:val="none" w:sz="0" w:space="0" w:color="auto"/>
        <w:bottom w:val="none" w:sz="0" w:space="0" w:color="auto"/>
        <w:right w:val="none" w:sz="0" w:space="0" w:color="auto"/>
      </w:divBdr>
    </w:div>
    <w:div w:id="346756689">
      <w:bodyDiv w:val="1"/>
      <w:marLeft w:val="0"/>
      <w:marRight w:val="0"/>
      <w:marTop w:val="0"/>
      <w:marBottom w:val="0"/>
      <w:divBdr>
        <w:top w:val="none" w:sz="0" w:space="0" w:color="auto"/>
        <w:left w:val="none" w:sz="0" w:space="0" w:color="auto"/>
        <w:bottom w:val="none" w:sz="0" w:space="0" w:color="auto"/>
        <w:right w:val="none" w:sz="0" w:space="0" w:color="auto"/>
      </w:divBdr>
      <w:divsChild>
        <w:div w:id="476725833">
          <w:marLeft w:val="0"/>
          <w:marRight w:val="0"/>
          <w:marTop w:val="0"/>
          <w:marBottom w:val="0"/>
          <w:divBdr>
            <w:top w:val="none" w:sz="0" w:space="0" w:color="auto"/>
            <w:left w:val="none" w:sz="0" w:space="0" w:color="auto"/>
            <w:bottom w:val="none" w:sz="0" w:space="0" w:color="auto"/>
            <w:right w:val="none" w:sz="0" w:space="0" w:color="auto"/>
          </w:divBdr>
        </w:div>
      </w:divsChild>
    </w:div>
    <w:div w:id="548340694">
      <w:bodyDiv w:val="1"/>
      <w:marLeft w:val="0"/>
      <w:marRight w:val="0"/>
      <w:marTop w:val="0"/>
      <w:marBottom w:val="0"/>
      <w:divBdr>
        <w:top w:val="none" w:sz="0" w:space="0" w:color="auto"/>
        <w:left w:val="none" w:sz="0" w:space="0" w:color="auto"/>
        <w:bottom w:val="none" w:sz="0" w:space="0" w:color="auto"/>
        <w:right w:val="none" w:sz="0" w:space="0" w:color="auto"/>
      </w:divBdr>
    </w:div>
    <w:div w:id="1610047944">
      <w:bodyDiv w:val="1"/>
      <w:marLeft w:val="0"/>
      <w:marRight w:val="0"/>
      <w:marTop w:val="0"/>
      <w:marBottom w:val="0"/>
      <w:divBdr>
        <w:top w:val="none" w:sz="0" w:space="0" w:color="auto"/>
        <w:left w:val="none" w:sz="0" w:space="0" w:color="auto"/>
        <w:bottom w:val="none" w:sz="0" w:space="0" w:color="auto"/>
        <w:right w:val="none" w:sz="0" w:space="0" w:color="auto"/>
      </w:divBdr>
    </w:div>
    <w:div w:id="1759322647">
      <w:bodyDiv w:val="1"/>
      <w:marLeft w:val="0"/>
      <w:marRight w:val="0"/>
      <w:marTop w:val="0"/>
      <w:marBottom w:val="0"/>
      <w:divBdr>
        <w:top w:val="none" w:sz="0" w:space="0" w:color="auto"/>
        <w:left w:val="none" w:sz="0" w:space="0" w:color="auto"/>
        <w:bottom w:val="none" w:sz="0" w:space="0" w:color="auto"/>
        <w:right w:val="none" w:sz="0" w:space="0" w:color="auto"/>
      </w:divBdr>
    </w:div>
    <w:div w:id="1886327749">
      <w:bodyDiv w:val="1"/>
      <w:marLeft w:val="0"/>
      <w:marRight w:val="0"/>
      <w:marTop w:val="0"/>
      <w:marBottom w:val="0"/>
      <w:divBdr>
        <w:top w:val="none" w:sz="0" w:space="0" w:color="auto"/>
        <w:left w:val="none" w:sz="0" w:space="0" w:color="auto"/>
        <w:bottom w:val="none" w:sz="0" w:space="0" w:color="auto"/>
        <w:right w:val="none" w:sz="0" w:space="0" w:color="auto"/>
      </w:divBdr>
    </w:div>
    <w:div w:id="20921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5C41FAC10AB4795EAE5636E45E7D0" ma:contentTypeVersion="4" ma:contentTypeDescription="Create a new document." ma:contentTypeScope="" ma:versionID="da0ad130593f0ce3446bbdaa1054a7ec">
  <xsd:schema xmlns:xsd="http://www.w3.org/2001/XMLSchema" xmlns:xs="http://www.w3.org/2001/XMLSchema" xmlns:p="http://schemas.microsoft.com/office/2006/metadata/properties" xmlns:ns2="1a217ca7-7dbf-471f-b9ed-173c8ae6928d" xmlns:ns3="ca486b02-8ead-45f8-8c27-cf9e17967293" targetNamespace="http://schemas.microsoft.com/office/2006/metadata/properties" ma:root="true" ma:fieldsID="d7c3a7166129a8a0c04bd6b5f10b728c" ns2:_="" ns3:_="">
    <xsd:import namespace="1a217ca7-7dbf-471f-b9ed-173c8ae6928d"/>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a7-7dbf-471f-b9ed-173c8ae69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6B968-7DCF-47AD-B8D2-719F661B7804}">
  <ds:schemaRefs>
    <ds:schemaRef ds:uri="http://schemas.microsoft.com/office/2006/metadata/properties"/>
    <ds:schemaRef ds:uri="http://schemas.microsoft.com/office/infopath/2007/PartnerControls"/>
    <ds:schemaRef ds:uri="6a88bcae-4ed9-4c7c-8601-22e07ac1b11d"/>
  </ds:schemaRefs>
</ds:datastoreItem>
</file>

<file path=customXml/itemProps2.xml><?xml version="1.0" encoding="utf-8"?>
<ds:datastoreItem xmlns:ds="http://schemas.openxmlformats.org/officeDocument/2006/customXml" ds:itemID="{E3AF32A2-1CFD-4606-90EB-D74C1006118B}"/>
</file>

<file path=customXml/itemProps3.xml><?xml version="1.0" encoding="utf-8"?>
<ds:datastoreItem xmlns:ds="http://schemas.openxmlformats.org/officeDocument/2006/customXml" ds:itemID="{9F41FD87-8869-4FA0-818D-0EE484CD61A1}">
  <ds:schemaRefs>
    <ds:schemaRef ds:uri="http://schemas.microsoft.com/sharepoint/v3/contenttype/forms"/>
  </ds:schemaRefs>
</ds:datastoreItem>
</file>

<file path=customXml/itemProps4.xml><?xml version="1.0" encoding="utf-8"?>
<ds:datastoreItem xmlns:ds="http://schemas.openxmlformats.org/officeDocument/2006/customXml" ds:itemID="{730B119C-0CB2-45D3-B4AE-27428A42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2487</Words>
  <Characters>13682</Characters>
  <Application>Microsoft Office Word</Application>
  <DocSecurity>0</DocSecurity>
  <Lines>114</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AR Nutrivigilence modalités</vt:lpstr>
      <vt:lpstr>AR Nutrivigilence modalités</vt:lpstr>
      <vt:lpstr>AR Nutrivigilence modalités</vt:lpstr>
    </vt:vector>
  </TitlesOfParts>
  <Company>HEALTH FGOV GE</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Nutrivigilence modalités</dc:title>
  <dc:creator>De Pauw Katrien</dc:creator>
  <cp:lastModifiedBy>Dominique De Clock (SPF Santé Publique - FOD Volksgezondheid)</cp:lastModifiedBy>
  <cp:revision>8</cp:revision>
  <cp:lastPrinted>2019-08-19T11:58:00Z</cp:lastPrinted>
  <dcterms:created xsi:type="dcterms:W3CDTF">2023-01-29T15:16:00Z</dcterms:created>
  <dcterms:modified xsi:type="dcterms:W3CDTF">2023-01-30T12:21:00Z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0x0101006175C41FAC10AB4795EAE5636E45E7D0</vt:lpwstr>
  </property>
</Properties>
</file>