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F4CD" w14:textId="77777777" w:rsidR="000812D2" w:rsidRPr="000812D2" w:rsidRDefault="000812D2" w:rsidP="00B022BA">
      <w:pPr>
        <w:rPr>
          <w:rFonts w:ascii="Garamond" w:hAnsi="Garamond"/>
          <w:sz w:val="22"/>
          <w:lang w:val="en-US"/>
        </w:rPr>
      </w:pPr>
    </w:p>
    <w:tbl>
      <w:tblPr>
        <w:tblW w:w="9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6"/>
        <w:gridCol w:w="324"/>
        <w:gridCol w:w="4463"/>
      </w:tblGrid>
      <w:tr w:rsidR="00B022BA" w14:paraId="23091B4B" w14:textId="77777777" w:rsidTr="0013508B">
        <w:trPr>
          <w:trHeight w:val="151"/>
        </w:trPr>
        <w:tc>
          <w:tcPr>
            <w:tcW w:w="4496" w:type="dxa"/>
            <w:tcBorders>
              <w:top w:val="nil"/>
              <w:left w:val="nil"/>
              <w:bottom w:val="nil"/>
              <w:right w:val="nil"/>
            </w:tcBorders>
          </w:tcPr>
          <w:p w14:paraId="24471EB6" w14:textId="3AE3EC3B" w:rsidR="00B022BA" w:rsidRDefault="004B7D74" w:rsidP="0013508B">
            <w:pPr>
              <w:pStyle w:val="Titre3"/>
              <w:jc w:val="center"/>
              <w:rPr>
                <w:rFonts w:ascii="Garamond" w:hAnsi="Garamond"/>
                <w:sz w:val="22"/>
                <w:lang w:val="fr-BE"/>
              </w:rPr>
            </w:pPr>
            <w:r w:rsidRPr="005A1493">
              <w:rPr>
                <w:rFonts w:ascii="Garamond" w:hAnsi="Garamond"/>
                <w:sz w:val="22"/>
                <w:lang w:val="fr-BE"/>
              </w:rPr>
              <w:t>Royaume de Belgique</w:t>
            </w:r>
          </w:p>
        </w:tc>
        <w:tc>
          <w:tcPr>
            <w:tcW w:w="324" w:type="dxa"/>
            <w:tcBorders>
              <w:top w:val="nil"/>
              <w:left w:val="nil"/>
              <w:bottom w:val="nil"/>
              <w:right w:val="nil"/>
            </w:tcBorders>
          </w:tcPr>
          <w:p w14:paraId="5771F579" w14:textId="77777777" w:rsidR="00B022BA" w:rsidRDefault="00B022BA" w:rsidP="0013508B">
            <w:pPr>
              <w:pStyle w:val="Titre2"/>
              <w:rPr>
                <w:rFonts w:ascii="Garamond" w:hAnsi="Garamond"/>
                <w:sz w:val="22"/>
                <w:lang w:val="fr-BE"/>
              </w:rPr>
            </w:pPr>
          </w:p>
        </w:tc>
        <w:tc>
          <w:tcPr>
            <w:tcW w:w="4463" w:type="dxa"/>
            <w:tcBorders>
              <w:top w:val="nil"/>
              <w:left w:val="nil"/>
              <w:bottom w:val="nil"/>
              <w:right w:val="nil"/>
            </w:tcBorders>
          </w:tcPr>
          <w:p w14:paraId="49E2F621" w14:textId="75EAF833" w:rsidR="00B022BA" w:rsidRPr="005A1493" w:rsidRDefault="00632F55" w:rsidP="0013508B">
            <w:pPr>
              <w:pStyle w:val="Titre2"/>
              <w:rPr>
                <w:rFonts w:ascii="Garamond" w:hAnsi="Garamond"/>
                <w:sz w:val="22"/>
                <w:lang w:val="fr-BE"/>
              </w:rPr>
            </w:pPr>
            <w:proofErr w:type="spellStart"/>
            <w:r>
              <w:rPr>
                <w:rFonts w:ascii="Garamond" w:hAnsi="Garamond"/>
                <w:sz w:val="22"/>
                <w:lang w:val="fr-BE"/>
              </w:rPr>
              <w:t>Koninkrijk</w:t>
            </w:r>
            <w:proofErr w:type="spellEnd"/>
            <w:r>
              <w:rPr>
                <w:rFonts w:ascii="Garamond" w:hAnsi="Garamond"/>
                <w:sz w:val="22"/>
                <w:lang w:val="fr-BE"/>
              </w:rPr>
              <w:t xml:space="preserve"> </w:t>
            </w:r>
            <w:proofErr w:type="spellStart"/>
            <w:r>
              <w:rPr>
                <w:rFonts w:ascii="Garamond" w:hAnsi="Garamond"/>
                <w:sz w:val="22"/>
                <w:lang w:val="fr-BE"/>
              </w:rPr>
              <w:t>België</w:t>
            </w:r>
            <w:proofErr w:type="spellEnd"/>
          </w:p>
        </w:tc>
      </w:tr>
      <w:tr w:rsidR="00B022BA" w14:paraId="69408B30" w14:textId="77777777" w:rsidTr="0013508B">
        <w:tc>
          <w:tcPr>
            <w:tcW w:w="4496" w:type="dxa"/>
            <w:tcBorders>
              <w:top w:val="nil"/>
              <w:left w:val="nil"/>
              <w:bottom w:val="nil"/>
              <w:right w:val="nil"/>
            </w:tcBorders>
          </w:tcPr>
          <w:p w14:paraId="2F68D4C7" w14:textId="77777777" w:rsidR="00B022BA" w:rsidRDefault="00B022BA" w:rsidP="0013508B">
            <w:pPr>
              <w:tabs>
                <w:tab w:val="left" w:pos="2268"/>
              </w:tabs>
              <w:jc w:val="center"/>
              <w:rPr>
                <w:rFonts w:ascii="Garamond" w:hAnsi="Garamond"/>
                <w:sz w:val="22"/>
                <w:lang w:val="fr-BE"/>
              </w:rPr>
            </w:pPr>
            <w:r>
              <w:rPr>
                <w:rFonts w:ascii="Garamond" w:hAnsi="Garamond"/>
                <w:sz w:val="22"/>
                <w:lang w:val="fr-BE"/>
              </w:rPr>
              <w:t>_________</w:t>
            </w:r>
          </w:p>
        </w:tc>
        <w:tc>
          <w:tcPr>
            <w:tcW w:w="324" w:type="dxa"/>
            <w:tcBorders>
              <w:top w:val="nil"/>
              <w:left w:val="nil"/>
              <w:bottom w:val="nil"/>
              <w:right w:val="nil"/>
            </w:tcBorders>
          </w:tcPr>
          <w:p w14:paraId="63B7A989" w14:textId="77777777" w:rsidR="00B022BA" w:rsidRDefault="00B022BA" w:rsidP="0013508B">
            <w:pPr>
              <w:tabs>
                <w:tab w:val="left" w:pos="2410"/>
              </w:tabs>
              <w:rPr>
                <w:rFonts w:ascii="Garamond" w:hAnsi="Garamond"/>
                <w:sz w:val="22"/>
                <w:lang w:val="fr-BE"/>
              </w:rPr>
            </w:pPr>
          </w:p>
        </w:tc>
        <w:tc>
          <w:tcPr>
            <w:tcW w:w="4463" w:type="dxa"/>
            <w:tcBorders>
              <w:top w:val="nil"/>
              <w:left w:val="nil"/>
              <w:bottom w:val="nil"/>
              <w:right w:val="nil"/>
            </w:tcBorders>
          </w:tcPr>
          <w:p w14:paraId="17EFE568" w14:textId="77777777" w:rsidR="00B022BA" w:rsidRPr="005A1493" w:rsidRDefault="00B022BA" w:rsidP="0013508B">
            <w:pPr>
              <w:tabs>
                <w:tab w:val="left" w:pos="2410"/>
              </w:tabs>
              <w:jc w:val="center"/>
              <w:rPr>
                <w:rFonts w:ascii="Garamond" w:hAnsi="Garamond"/>
                <w:sz w:val="22"/>
                <w:lang w:val="fr-BE"/>
              </w:rPr>
            </w:pPr>
            <w:r w:rsidRPr="005A1493">
              <w:rPr>
                <w:rFonts w:ascii="Garamond" w:hAnsi="Garamond"/>
                <w:sz w:val="22"/>
                <w:lang w:val="fr-BE"/>
              </w:rPr>
              <w:t>_________</w:t>
            </w:r>
          </w:p>
        </w:tc>
      </w:tr>
      <w:tr w:rsidR="00B022BA" w14:paraId="7269ADEB" w14:textId="77777777" w:rsidTr="0013508B">
        <w:tc>
          <w:tcPr>
            <w:tcW w:w="4496" w:type="dxa"/>
            <w:tcBorders>
              <w:top w:val="nil"/>
              <w:left w:val="nil"/>
              <w:bottom w:val="nil"/>
              <w:right w:val="nil"/>
            </w:tcBorders>
          </w:tcPr>
          <w:p w14:paraId="6C28AA6B" w14:textId="77777777" w:rsidR="00B022BA" w:rsidRDefault="00B022BA" w:rsidP="0013508B">
            <w:pPr>
              <w:tabs>
                <w:tab w:val="left" w:pos="2268"/>
              </w:tabs>
              <w:jc w:val="center"/>
              <w:rPr>
                <w:rFonts w:ascii="Garamond" w:hAnsi="Garamond"/>
                <w:sz w:val="22"/>
                <w:lang w:val="fr-BE"/>
              </w:rPr>
            </w:pPr>
          </w:p>
        </w:tc>
        <w:tc>
          <w:tcPr>
            <w:tcW w:w="324" w:type="dxa"/>
            <w:tcBorders>
              <w:top w:val="nil"/>
              <w:left w:val="nil"/>
              <w:bottom w:val="nil"/>
              <w:right w:val="nil"/>
            </w:tcBorders>
          </w:tcPr>
          <w:p w14:paraId="6F1EBFFB" w14:textId="77777777" w:rsidR="00B022BA" w:rsidRDefault="00B022BA" w:rsidP="0013508B">
            <w:pPr>
              <w:tabs>
                <w:tab w:val="left" w:pos="2410"/>
              </w:tabs>
              <w:rPr>
                <w:rFonts w:ascii="Garamond" w:hAnsi="Garamond"/>
                <w:sz w:val="22"/>
                <w:lang w:val="fr-BE"/>
              </w:rPr>
            </w:pPr>
          </w:p>
        </w:tc>
        <w:tc>
          <w:tcPr>
            <w:tcW w:w="4463" w:type="dxa"/>
            <w:tcBorders>
              <w:top w:val="nil"/>
              <w:left w:val="nil"/>
              <w:bottom w:val="nil"/>
              <w:right w:val="nil"/>
            </w:tcBorders>
          </w:tcPr>
          <w:p w14:paraId="09B7FCCB" w14:textId="77777777" w:rsidR="00B022BA" w:rsidRPr="005A1493" w:rsidRDefault="00B022BA" w:rsidP="0013508B">
            <w:pPr>
              <w:tabs>
                <w:tab w:val="left" w:pos="2410"/>
              </w:tabs>
              <w:jc w:val="center"/>
              <w:rPr>
                <w:rFonts w:ascii="Garamond" w:hAnsi="Garamond"/>
                <w:sz w:val="22"/>
                <w:lang w:val="fr-BE"/>
              </w:rPr>
            </w:pPr>
          </w:p>
        </w:tc>
      </w:tr>
      <w:tr w:rsidR="00B022BA" w:rsidRPr="00BA2D73" w14:paraId="3348244D" w14:textId="77777777" w:rsidTr="0013508B">
        <w:tc>
          <w:tcPr>
            <w:tcW w:w="4496" w:type="dxa"/>
            <w:tcBorders>
              <w:top w:val="nil"/>
              <w:left w:val="nil"/>
              <w:bottom w:val="nil"/>
              <w:right w:val="nil"/>
            </w:tcBorders>
          </w:tcPr>
          <w:p w14:paraId="5B41F6B9" w14:textId="00154970" w:rsidR="00B022BA" w:rsidRPr="004B7D74" w:rsidRDefault="004B7D74" w:rsidP="0013508B">
            <w:pPr>
              <w:tabs>
                <w:tab w:val="left" w:pos="2268"/>
              </w:tabs>
              <w:jc w:val="center"/>
              <w:rPr>
                <w:rFonts w:ascii="Garamond" w:hAnsi="Garamond"/>
                <w:b/>
                <w:bCs/>
                <w:sz w:val="22"/>
                <w:lang w:val="fr-BE"/>
              </w:rPr>
            </w:pPr>
            <w:r w:rsidRPr="005A1493">
              <w:rPr>
                <w:rFonts w:ascii="Garamond" w:hAnsi="Garamond"/>
                <w:b/>
                <w:bCs/>
                <w:sz w:val="22"/>
                <w:lang w:val="fr-BE"/>
              </w:rPr>
              <w:t>SERVICE PUBLIC FEDERAL SANTE PUBLIQUE, SECURITE DE LA CHAINE ALIMENTAIRE ET ENVIRONNEMENT</w:t>
            </w:r>
          </w:p>
        </w:tc>
        <w:tc>
          <w:tcPr>
            <w:tcW w:w="324" w:type="dxa"/>
            <w:tcBorders>
              <w:top w:val="nil"/>
              <w:left w:val="nil"/>
              <w:bottom w:val="nil"/>
              <w:right w:val="nil"/>
            </w:tcBorders>
          </w:tcPr>
          <w:p w14:paraId="0CA2F5D8" w14:textId="77777777" w:rsidR="00B022BA" w:rsidRPr="004B7D74" w:rsidRDefault="00B022BA" w:rsidP="0013508B">
            <w:pPr>
              <w:tabs>
                <w:tab w:val="left" w:pos="2410"/>
              </w:tabs>
              <w:jc w:val="center"/>
              <w:rPr>
                <w:rFonts w:ascii="Garamond" w:hAnsi="Garamond"/>
                <w:b/>
                <w:bCs/>
                <w:sz w:val="22"/>
                <w:lang w:val="fr-BE"/>
              </w:rPr>
            </w:pPr>
          </w:p>
        </w:tc>
        <w:tc>
          <w:tcPr>
            <w:tcW w:w="4463" w:type="dxa"/>
            <w:tcBorders>
              <w:top w:val="nil"/>
              <w:left w:val="nil"/>
              <w:bottom w:val="nil"/>
              <w:right w:val="nil"/>
            </w:tcBorders>
          </w:tcPr>
          <w:p w14:paraId="62BE22C1" w14:textId="7B830B35" w:rsidR="00B022BA" w:rsidRPr="00632F55" w:rsidRDefault="00632F55" w:rsidP="0013508B">
            <w:pPr>
              <w:tabs>
                <w:tab w:val="left" w:pos="2410"/>
                <w:tab w:val="left" w:pos="3616"/>
                <w:tab w:val="left" w:pos="3899"/>
              </w:tabs>
              <w:jc w:val="center"/>
              <w:rPr>
                <w:rFonts w:ascii="Garamond" w:hAnsi="Garamond"/>
                <w:b/>
                <w:bCs/>
                <w:sz w:val="22"/>
                <w:lang w:val="nl-NL"/>
              </w:rPr>
            </w:pPr>
            <w:r>
              <w:rPr>
                <w:rFonts w:ascii="Garamond" w:hAnsi="Garamond"/>
                <w:b/>
                <w:bCs/>
                <w:sz w:val="22"/>
                <w:lang w:val="nl-NL"/>
              </w:rPr>
              <w:t>FEDERALE OVERHEIDSDIENST VOLKSGEZONDHEID, VEILIGHEID VAN DE VOEDSELKETEN EN LEEFMILIEU</w:t>
            </w:r>
          </w:p>
        </w:tc>
      </w:tr>
      <w:tr w:rsidR="00B022BA" w14:paraId="5C053C3F" w14:textId="77777777" w:rsidTr="0013508B">
        <w:tc>
          <w:tcPr>
            <w:tcW w:w="4496" w:type="dxa"/>
            <w:tcBorders>
              <w:top w:val="nil"/>
              <w:left w:val="nil"/>
              <w:bottom w:val="nil"/>
              <w:right w:val="nil"/>
            </w:tcBorders>
          </w:tcPr>
          <w:p w14:paraId="71A55DCF" w14:textId="77777777" w:rsidR="00B022BA" w:rsidRDefault="00B022BA" w:rsidP="0013508B">
            <w:pPr>
              <w:tabs>
                <w:tab w:val="left" w:pos="2268"/>
              </w:tabs>
              <w:jc w:val="center"/>
              <w:rPr>
                <w:rFonts w:ascii="Garamond" w:hAnsi="Garamond"/>
                <w:sz w:val="22"/>
              </w:rPr>
            </w:pPr>
            <w:r>
              <w:rPr>
                <w:rFonts w:ascii="Garamond" w:hAnsi="Garamond"/>
                <w:sz w:val="22"/>
              </w:rPr>
              <w:t>________________________</w:t>
            </w:r>
          </w:p>
        </w:tc>
        <w:tc>
          <w:tcPr>
            <w:tcW w:w="324" w:type="dxa"/>
            <w:tcBorders>
              <w:top w:val="nil"/>
              <w:left w:val="nil"/>
              <w:bottom w:val="nil"/>
              <w:right w:val="nil"/>
            </w:tcBorders>
          </w:tcPr>
          <w:p w14:paraId="700CC51C" w14:textId="77777777" w:rsidR="00B022BA" w:rsidRDefault="00B022BA" w:rsidP="0013508B">
            <w:pPr>
              <w:tabs>
                <w:tab w:val="left" w:pos="2410"/>
              </w:tabs>
              <w:rPr>
                <w:rFonts w:ascii="Garamond" w:hAnsi="Garamond"/>
                <w:b/>
                <w:sz w:val="22"/>
              </w:rPr>
            </w:pPr>
          </w:p>
        </w:tc>
        <w:tc>
          <w:tcPr>
            <w:tcW w:w="4463" w:type="dxa"/>
            <w:tcBorders>
              <w:top w:val="nil"/>
              <w:left w:val="nil"/>
              <w:bottom w:val="nil"/>
              <w:right w:val="nil"/>
            </w:tcBorders>
          </w:tcPr>
          <w:p w14:paraId="34F2A734" w14:textId="77777777" w:rsidR="00B022BA" w:rsidRPr="005A1493" w:rsidRDefault="00B022BA" w:rsidP="0013508B">
            <w:pPr>
              <w:tabs>
                <w:tab w:val="left" w:pos="2410"/>
              </w:tabs>
              <w:jc w:val="center"/>
              <w:rPr>
                <w:rFonts w:ascii="Garamond" w:hAnsi="Garamond"/>
                <w:bCs/>
                <w:sz w:val="22"/>
                <w:lang w:val="fr-BE"/>
              </w:rPr>
            </w:pPr>
            <w:r w:rsidRPr="005A1493">
              <w:rPr>
                <w:rFonts w:ascii="Garamond" w:hAnsi="Garamond"/>
                <w:sz w:val="22"/>
                <w:lang w:val="fr-BE"/>
              </w:rPr>
              <w:t>________________________</w:t>
            </w:r>
          </w:p>
        </w:tc>
      </w:tr>
      <w:tr w:rsidR="00B022BA" w14:paraId="0543E76E" w14:textId="77777777" w:rsidTr="0013508B">
        <w:tc>
          <w:tcPr>
            <w:tcW w:w="4496" w:type="dxa"/>
            <w:tcBorders>
              <w:top w:val="nil"/>
              <w:left w:val="nil"/>
              <w:bottom w:val="nil"/>
              <w:right w:val="nil"/>
            </w:tcBorders>
          </w:tcPr>
          <w:p w14:paraId="4FE52C3B" w14:textId="77777777" w:rsidR="00B022BA" w:rsidRDefault="00B022BA" w:rsidP="0013508B">
            <w:pPr>
              <w:tabs>
                <w:tab w:val="left" w:pos="2268"/>
              </w:tabs>
              <w:jc w:val="center"/>
              <w:rPr>
                <w:rFonts w:ascii="Garamond" w:hAnsi="Garamond"/>
                <w:sz w:val="22"/>
              </w:rPr>
            </w:pPr>
          </w:p>
        </w:tc>
        <w:tc>
          <w:tcPr>
            <w:tcW w:w="324" w:type="dxa"/>
            <w:tcBorders>
              <w:top w:val="nil"/>
              <w:left w:val="nil"/>
              <w:bottom w:val="nil"/>
              <w:right w:val="nil"/>
            </w:tcBorders>
          </w:tcPr>
          <w:p w14:paraId="25DEAA21" w14:textId="77777777" w:rsidR="00B022BA" w:rsidRDefault="00B022BA" w:rsidP="0013508B">
            <w:pPr>
              <w:tabs>
                <w:tab w:val="left" w:pos="2410"/>
              </w:tabs>
              <w:rPr>
                <w:rFonts w:ascii="Garamond" w:hAnsi="Garamond"/>
                <w:b/>
                <w:sz w:val="22"/>
              </w:rPr>
            </w:pPr>
          </w:p>
        </w:tc>
        <w:tc>
          <w:tcPr>
            <w:tcW w:w="4463" w:type="dxa"/>
            <w:tcBorders>
              <w:top w:val="nil"/>
              <w:left w:val="nil"/>
              <w:bottom w:val="nil"/>
              <w:right w:val="nil"/>
            </w:tcBorders>
          </w:tcPr>
          <w:p w14:paraId="6A316D88" w14:textId="77777777" w:rsidR="00B022BA" w:rsidRPr="005A1493" w:rsidRDefault="00B022BA" w:rsidP="0013508B">
            <w:pPr>
              <w:tabs>
                <w:tab w:val="left" w:pos="2410"/>
              </w:tabs>
              <w:jc w:val="center"/>
              <w:rPr>
                <w:rFonts w:ascii="Garamond" w:hAnsi="Garamond"/>
                <w:sz w:val="22"/>
                <w:lang w:val="fr-BE"/>
              </w:rPr>
            </w:pPr>
          </w:p>
        </w:tc>
      </w:tr>
      <w:tr w:rsidR="00B022BA" w:rsidRPr="00BA2D73" w14:paraId="67514D98" w14:textId="77777777" w:rsidTr="0013508B">
        <w:tc>
          <w:tcPr>
            <w:tcW w:w="4496" w:type="dxa"/>
            <w:tcBorders>
              <w:top w:val="nil"/>
              <w:left w:val="nil"/>
              <w:bottom w:val="nil"/>
              <w:right w:val="nil"/>
            </w:tcBorders>
          </w:tcPr>
          <w:p w14:paraId="19122574" w14:textId="00B1C492" w:rsidR="00B022BA" w:rsidRPr="004B7D74" w:rsidRDefault="005E2145" w:rsidP="004B7D74">
            <w:pPr>
              <w:tabs>
                <w:tab w:val="left" w:pos="2268"/>
              </w:tabs>
              <w:jc w:val="both"/>
              <w:rPr>
                <w:rFonts w:ascii="Garamond" w:hAnsi="Garamond"/>
                <w:b/>
                <w:bCs/>
                <w:sz w:val="22"/>
              </w:rPr>
            </w:pPr>
            <w:r w:rsidRPr="005E2145">
              <w:rPr>
                <w:rFonts w:ascii="Garamond" w:hAnsi="Garamond"/>
                <w:b/>
                <w:bCs/>
                <w:sz w:val="22"/>
                <w:szCs w:val="22"/>
                <w:lang w:val="fr-BE"/>
              </w:rPr>
              <w:t>Arrêté royal portant sur la composition, le fonctionnement et la rémunération de la Commission d’évaluation des effets indésirables liés à l’utilisation des denrées alimentaires</w:t>
            </w:r>
          </w:p>
        </w:tc>
        <w:tc>
          <w:tcPr>
            <w:tcW w:w="324" w:type="dxa"/>
            <w:tcBorders>
              <w:top w:val="nil"/>
              <w:left w:val="nil"/>
              <w:bottom w:val="nil"/>
              <w:right w:val="nil"/>
            </w:tcBorders>
          </w:tcPr>
          <w:p w14:paraId="68339959" w14:textId="77777777" w:rsidR="00B022BA" w:rsidRPr="004B7D74" w:rsidRDefault="00B022BA" w:rsidP="00185852">
            <w:pPr>
              <w:tabs>
                <w:tab w:val="left" w:pos="2410"/>
              </w:tabs>
              <w:jc w:val="both"/>
              <w:rPr>
                <w:rFonts w:ascii="Garamond" w:hAnsi="Garamond"/>
                <w:b/>
                <w:bCs/>
                <w:sz w:val="22"/>
              </w:rPr>
            </w:pPr>
          </w:p>
        </w:tc>
        <w:tc>
          <w:tcPr>
            <w:tcW w:w="4463" w:type="dxa"/>
            <w:tcBorders>
              <w:top w:val="nil"/>
              <w:left w:val="nil"/>
              <w:bottom w:val="nil"/>
              <w:right w:val="nil"/>
            </w:tcBorders>
          </w:tcPr>
          <w:p w14:paraId="1E8ECCBE" w14:textId="41B69B91" w:rsidR="00B022BA" w:rsidRPr="00632F55" w:rsidRDefault="00632F55" w:rsidP="00632F55">
            <w:pPr>
              <w:tabs>
                <w:tab w:val="left" w:pos="2410"/>
              </w:tabs>
              <w:jc w:val="both"/>
              <w:rPr>
                <w:rFonts w:ascii="Garamond" w:hAnsi="Garamond"/>
                <w:b/>
                <w:bCs/>
                <w:sz w:val="22"/>
                <w:lang w:val="nl-NL"/>
              </w:rPr>
            </w:pPr>
            <w:r>
              <w:rPr>
                <w:rFonts w:ascii="Garamond" w:hAnsi="Garamond"/>
                <w:b/>
                <w:bCs/>
                <w:sz w:val="22"/>
                <w:lang w:val="nl-NL"/>
              </w:rPr>
              <w:t xml:space="preserve">Koninklijk besluit </w:t>
            </w:r>
            <w:r w:rsidRPr="00632F55">
              <w:rPr>
                <w:rFonts w:ascii="Garamond" w:hAnsi="Garamond"/>
                <w:b/>
                <w:bCs/>
                <w:sz w:val="22"/>
                <w:lang w:val="nl-NL"/>
              </w:rPr>
              <w:t xml:space="preserve">betreffende </w:t>
            </w:r>
            <w:r w:rsidR="008D0E5C" w:rsidRPr="008D0E5C">
              <w:rPr>
                <w:rFonts w:ascii="Garamond" w:hAnsi="Garamond"/>
                <w:b/>
                <w:bCs/>
                <w:sz w:val="22"/>
                <w:lang w:val="nl-NL"/>
              </w:rPr>
              <w:t xml:space="preserve">de samenstelling, de werking en de bezoldiging van de Commissie voor de evaluatie van de </w:t>
            </w:r>
            <w:r w:rsidR="00B64663">
              <w:rPr>
                <w:rFonts w:ascii="Garamond" w:hAnsi="Garamond"/>
                <w:b/>
                <w:bCs/>
                <w:sz w:val="22"/>
                <w:lang w:val="nl-NL"/>
              </w:rPr>
              <w:t>bijwerkingen</w:t>
            </w:r>
            <w:r w:rsidR="008D0E5C" w:rsidRPr="008D0E5C">
              <w:rPr>
                <w:rFonts w:ascii="Garamond" w:hAnsi="Garamond"/>
                <w:b/>
                <w:bCs/>
                <w:sz w:val="22"/>
                <w:lang w:val="nl-NL"/>
              </w:rPr>
              <w:t xml:space="preserve"> in verband met het gebruik van </w:t>
            </w:r>
            <w:r w:rsidR="005A2FC1">
              <w:rPr>
                <w:rFonts w:ascii="Garamond" w:hAnsi="Garamond"/>
                <w:b/>
                <w:bCs/>
                <w:sz w:val="22"/>
                <w:lang w:val="nl-NL"/>
              </w:rPr>
              <w:t>voedingsmiddelen</w:t>
            </w:r>
          </w:p>
        </w:tc>
      </w:tr>
      <w:tr w:rsidR="00B022BA" w:rsidRPr="00BA2D73" w14:paraId="4095344A" w14:textId="77777777" w:rsidTr="0013508B">
        <w:tc>
          <w:tcPr>
            <w:tcW w:w="4496" w:type="dxa"/>
            <w:tcBorders>
              <w:top w:val="nil"/>
              <w:left w:val="nil"/>
              <w:bottom w:val="nil"/>
              <w:right w:val="nil"/>
            </w:tcBorders>
          </w:tcPr>
          <w:p w14:paraId="351A9F61" w14:textId="77777777" w:rsidR="00B022BA" w:rsidRPr="00632F55" w:rsidRDefault="00B022BA" w:rsidP="0013508B">
            <w:pPr>
              <w:rPr>
                <w:rFonts w:ascii="Garamond" w:hAnsi="Garamond"/>
                <w:b/>
                <w:sz w:val="22"/>
                <w:lang w:val="nl-NL"/>
              </w:rPr>
            </w:pPr>
          </w:p>
        </w:tc>
        <w:tc>
          <w:tcPr>
            <w:tcW w:w="324" w:type="dxa"/>
            <w:tcBorders>
              <w:top w:val="nil"/>
              <w:left w:val="nil"/>
              <w:bottom w:val="nil"/>
              <w:right w:val="nil"/>
            </w:tcBorders>
          </w:tcPr>
          <w:p w14:paraId="596119F0" w14:textId="77777777" w:rsidR="00B022BA" w:rsidRPr="00632F55" w:rsidRDefault="00B022BA" w:rsidP="0013508B">
            <w:pPr>
              <w:rPr>
                <w:rFonts w:ascii="Garamond" w:hAnsi="Garamond"/>
                <w:b/>
                <w:sz w:val="22"/>
                <w:lang w:val="nl-NL"/>
              </w:rPr>
            </w:pPr>
          </w:p>
        </w:tc>
        <w:tc>
          <w:tcPr>
            <w:tcW w:w="4463" w:type="dxa"/>
            <w:tcBorders>
              <w:top w:val="nil"/>
              <w:left w:val="nil"/>
              <w:bottom w:val="nil"/>
              <w:right w:val="nil"/>
            </w:tcBorders>
          </w:tcPr>
          <w:p w14:paraId="7D2CF3E3" w14:textId="77777777" w:rsidR="00B022BA" w:rsidRPr="00632F55" w:rsidRDefault="00B022BA" w:rsidP="0013508B">
            <w:pPr>
              <w:rPr>
                <w:rFonts w:ascii="Garamond" w:hAnsi="Garamond"/>
                <w:b/>
                <w:sz w:val="22"/>
                <w:lang w:val="nl-NL"/>
              </w:rPr>
            </w:pPr>
          </w:p>
        </w:tc>
      </w:tr>
      <w:tr w:rsidR="00632F55" w14:paraId="2DCEB761" w14:textId="77777777" w:rsidTr="0013508B">
        <w:tc>
          <w:tcPr>
            <w:tcW w:w="4496" w:type="dxa"/>
            <w:tcBorders>
              <w:top w:val="nil"/>
              <w:left w:val="nil"/>
              <w:bottom w:val="nil"/>
              <w:right w:val="nil"/>
            </w:tcBorders>
          </w:tcPr>
          <w:p w14:paraId="3703D938" w14:textId="3C27C857" w:rsidR="00632F55" w:rsidRPr="005A1493" w:rsidRDefault="00632F55" w:rsidP="00632F55">
            <w:pPr>
              <w:jc w:val="center"/>
              <w:rPr>
                <w:rFonts w:ascii="Garamond" w:hAnsi="Garamond"/>
                <w:b/>
                <w:sz w:val="22"/>
                <w:lang w:val="de-DE"/>
              </w:rPr>
            </w:pPr>
            <w:r>
              <w:rPr>
                <w:rFonts w:ascii="Garamond" w:hAnsi="Garamond"/>
                <w:b/>
                <w:sz w:val="22"/>
                <w:lang w:val="fr-BE"/>
              </w:rPr>
              <w:t>PHILIPPE</w:t>
            </w:r>
            <w:r w:rsidRPr="005A1493">
              <w:rPr>
                <w:rFonts w:ascii="Garamond" w:hAnsi="Garamond"/>
                <w:b/>
                <w:sz w:val="22"/>
                <w:lang w:val="fr-BE"/>
              </w:rPr>
              <w:t>, Roi des Belges</w:t>
            </w:r>
            <w:r w:rsidRPr="005A1493">
              <w:rPr>
                <w:rFonts w:ascii="Garamond" w:hAnsi="Garamond"/>
                <w:b/>
                <w:sz w:val="22"/>
                <w:lang w:val="de-DE"/>
              </w:rPr>
              <w:t>,</w:t>
            </w:r>
          </w:p>
        </w:tc>
        <w:tc>
          <w:tcPr>
            <w:tcW w:w="324" w:type="dxa"/>
            <w:tcBorders>
              <w:top w:val="nil"/>
              <w:left w:val="nil"/>
              <w:bottom w:val="nil"/>
              <w:right w:val="nil"/>
            </w:tcBorders>
          </w:tcPr>
          <w:p w14:paraId="29B1071F" w14:textId="77777777" w:rsidR="00632F55" w:rsidRPr="005A1493" w:rsidRDefault="00632F55" w:rsidP="00632F55">
            <w:pPr>
              <w:jc w:val="center"/>
              <w:rPr>
                <w:rFonts w:ascii="Garamond" w:hAnsi="Garamond"/>
                <w:bCs/>
                <w:sz w:val="22"/>
                <w:lang w:val="de-DE"/>
              </w:rPr>
            </w:pPr>
          </w:p>
        </w:tc>
        <w:tc>
          <w:tcPr>
            <w:tcW w:w="4463" w:type="dxa"/>
            <w:tcBorders>
              <w:top w:val="nil"/>
              <w:left w:val="nil"/>
              <w:bottom w:val="nil"/>
              <w:right w:val="nil"/>
            </w:tcBorders>
          </w:tcPr>
          <w:p w14:paraId="076AF892" w14:textId="20ABF3ED" w:rsidR="00632F55" w:rsidRPr="005A1493" w:rsidRDefault="00632F55" w:rsidP="00632F55">
            <w:pPr>
              <w:jc w:val="center"/>
              <w:rPr>
                <w:rFonts w:ascii="Garamond" w:hAnsi="Garamond"/>
                <w:bCs/>
                <w:sz w:val="22"/>
                <w:lang w:val="fr-BE"/>
              </w:rPr>
            </w:pPr>
            <w:r>
              <w:rPr>
                <w:rFonts w:ascii="Garamond" w:hAnsi="Garamond"/>
                <w:b/>
                <w:sz w:val="22"/>
                <w:lang w:val="de-DE"/>
              </w:rPr>
              <w:t>FILIP</w:t>
            </w:r>
            <w:r w:rsidRPr="005A1493">
              <w:rPr>
                <w:rFonts w:ascii="Garamond" w:hAnsi="Garamond"/>
                <w:b/>
                <w:sz w:val="22"/>
                <w:lang w:val="de-DE"/>
              </w:rPr>
              <w:t xml:space="preserve">, Koning der </w:t>
            </w:r>
            <w:proofErr w:type="spellStart"/>
            <w:r w:rsidRPr="005A1493">
              <w:rPr>
                <w:rFonts w:ascii="Garamond" w:hAnsi="Garamond"/>
                <w:b/>
                <w:sz w:val="22"/>
                <w:lang w:val="de-DE"/>
              </w:rPr>
              <w:t>Belgen</w:t>
            </w:r>
            <w:proofErr w:type="spellEnd"/>
            <w:r w:rsidRPr="005A1493">
              <w:rPr>
                <w:rFonts w:ascii="Garamond" w:hAnsi="Garamond"/>
                <w:b/>
                <w:sz w:val="22"/>
                <w:lang w:val="de-DE"/>
              </w:rPr>
              <w:t>,</w:t>
            </w:r>
          </w:p>
        </w:tc>
      </w:tr>
      <w:tr w:rsidR="00632F55" w14:paraId="2117FEB6" w14:textId="77777777" w:rsidTr="0013508B">
        <w:tc>
          <w:tcPr>
            <w:tcW w:w="4496" w:type="dxa"/>
            <w:tcBorders>
              <w:top w:val="nil"/>
              <w:left w:val="nil"/>
              <w:bottom w:val="nil"/>
              <w:right w:val="nil"/>
            </w:tcBorders>
          </w:tcPr>
          <w:p w14:paraId="6E5DE2DF" w14:textId="77777777" w:rsidR="00632F55" w:rsidRDefault="00632F55" w:rsidP="00632F55">
            <w:pPr>
              <w:jc w:val="center"/>
              <w:rPr>
                <w:rFonts w:ascii="Garamond" w:hAnsi="Garamond"/>
                <w:bCs/>
                <w:sz w:val="22"/>
                <w:lang w:val="fr-BE"/>
              </w:rPr>
            </w:pPr>
          </w:p>
        </w:tc>
        <w:tc>
          <w:tcPr>
            <w:tcW w:w="324" w:type="dxa"/>
            <w:tcBorders>
              <w:top w:val="nil"/>
              <w:left w:val="nil"/>
              <w:bottom w:val="nil"/>
              <w:right w:val="nil"/>
            </w:tcBorders>
          </w:tcPr>
          <w:p w14:paraId="22D56EAA" w14:textId="77777777" w:rsidR="00632F55" w:rsidRDefault="00632F55" w:rsidP="00632F55">
            <w:pPr>
              <w:jc w:val="center"/>
              <w:rPr>
                <w:rFonts w:ascii="Garamond" w:hAnsi="Garamond"/>
                <w:bCs/>
                <w:sz w:val="22"/>
                <w:lang w:val="fr-BE"/>
              </w:rPr>
            </w:pPr>
          </w:p>
        </w:tc>
        <w:tc>
          <w:tcPr>
            <w:tcW w:w="4463" w:type="dxa"/>
            <w:tcBorders>
              <w:top w:val="nil"/>
              <w:left w:val="nil"/>
              <w:bottom w:val="nil"/>
              <w:right w:val="nil"/>
            </w:tcBorders>
          </w:tcPr>
          <w:p w14:paraId="710327BA" w14:textId="77777777" w:rsidR="00632F55" w:rsidRPr="005A1493" w:rsidRDefault="00632F55" w:rsidP="00632F55">
            <w:pPr>
              <w:jc w:val="center"/>
              <w:rPr>
                <w:rFonts w:ascii="Garamond" w:hAnsi="Garamond"/>
                <w:bCs/>
                <w:sz w:val="22"/>
                <w:lang w:val="fr-BE"/>
              </w:rPr>
            </w:pPr>
          </w:p>
        </w:tc>
      </w:tr>
      <w:tr w:rsidR="00632F55" w:rsidRPr="00BA2D73" w14:paraId="787BF257" w14:textId="77777777" w:rsidTr="0013508B">
        <w:tc>
          <w:tcPr>
            <w:tcW w:w="4496" w:type="dxa"/>
            <w:tcBorders>
              <w:top w:val="nil"/>
              <w:left w:val="nil"/>
              <w:bottom w:val="nil"/>
              <w:right w:val="nil"/>
            </w:tcBorders>
          </w:tcPr>
          <w:p w14:paraId="30935493" w14:textId="7DDA9D15" w:rsidR="00632F55" w:rsidRPr="004B7D74" w:rsidRDefault="00632F55" w:rsidP="00632F55">
            <w:pPr>
              <w:pStyle w:val="Pieddepage"/>
              <w:tabs>
                <w:tab w:val="clear" w:pos="4536"/>
                <w:tab w:val="clear" w:pos="9072"/>
                <w:tab w:val="left" w:pos="356"/>
                <w:tab w:val="left" w:pos="2268"/>
              </w:tabs>
              <w:jc w:val="center"/>
              <w:rPr>
                <w:rFonts w:ascii="Garamond" w:hAnsi="Garamond"/>
                <w:sz w:val="22"/>
                <w:lang w:val="fr-BE"/>
              </w:rPr>
            </w:pPr>
            <w:r w:rsidRPr="005A1493">
              <w:rPr>
                <w:rFonts w:ascii="Garamond" w:hAnsi="Garamond"/>
                <w:sz w:val="22"/>
                <w:lang w:val="fr-BE"/>
              </w:rPr>
              <w:t>A tous, présents et à venir, Salut</w:t>
            </w:r>
            <w:r w:rsidRPr="004B7D74">
              <w:rPr>
                <w:rFonts w:ascii="Garamond" w:hAnsi="Garamond"/>
                <w:sz w:val="22"/>
                <w:lang w:val="fr-BE"/>
              </w:rPr>
              <w:t>.</w:t>
            </w:r>
          </w:p>
        </w:tc>
        <w:tc>
          <w:tcPr>
            <w:tcW w:w="324" w:type="dxa"/>
            <w:tcBorders>
              <w:top w:val="nil"/>
              <w:left w:val="nil"/>
              <w:bottom w:val="nil"/>
              <w:right w:val="nil"/>
            </w:tcBorders>
          </w:tcPr>
          <w:p w14:paraId="1F2057AF" w14:textId="77777777" w:rsidR="00632F55" w:rsidRPr="004B7D74" w:rsidRDefault="00632F55" w:rsidP="00632F55">
            <w:pPr>
              <w:pStyle w:val="Pieddepage"/>
              <w:tabs>
                <w:tab w:val="clear" w:pos="4536"/>
                <w:tab w:val="clear" w:pos="9072"/>
                <w:tab w:val="left" w:pos="567"/>
                <w:tab w:val="left" w:pos="2410"/>
              </w:tabs>
              <w:jc w:val="both"/>
              <w:rPr>
                <w:rFonts w:ascii="Garamond" w:hAnsi="Garamond"/>
                <w:sz w:val="22"/>
                <w:lang w:val="fr-BE"/>
              </w:rPr>
            </w:pPr>
          </w:p>
        </w:tc>
        <w:tc>
          <w:tcPr>
            <w:tcW w:w="4463" w:type="dxa"/>
            <w:tcBorders>
              <w:top w:val="nil"/>
              <w:left w:val="nil"/>
              <w:bottom w:val="nil"/>
              <w:right w:val="nil"/>
            </w:tcBorders>
          </w:tcPr>
          <w:p w14:paraId="36D0849B" w14:textId="019AC26E" w:rsidR="00632F55" w:rsidRPr="00632F55" w:rsidRDefault="00632F55" w:rsidP="00632F55">
            <w:pPr>
              <w:pStyle w:val="Pieddepage"/>
              <w:tabs>
                <w:tab w:val="clear" w:pos="4536"/>
                <w:tab w:val="clear" w:pos="9072"/>
                <w:tab w:val="left" w:pos="355"/>
                <w:tab w:val="left" w:pos="2410"/>
              </w:tabs>
              <w:jc w:val="center"/>
              <w:rPr>
                <w:rFonts w:ascii="Garamond" w:hAnsi="Garamond"/>
                <w:sz w:val="22"/>
                <w:lang w:val="nl-NL"/>
              </w:rPr>
            </w:pPr>
            <w:r>
              <w:rPr>
                <w:rFonts w:ascii="Garamond" w:hAnsi="Garamond"/>
                <w:sz w:val="22"/>
                <w:lang w:val="nl-NL"/>
              </w:rPr>
              <w:t>Aan allen die nu zijn en hierna wezen zullen, Onze Groet.</w:t>
            </w:r>
          </w:p>
        </w:tc>
      </w:tr>
      <w:tr w:rsidR="00632F55" w:rsidRPr="00BA2D73" w14:paraId="47102E8D" w14:textId="77777777" w:rsidTr="0099556C">
        <w:tc>
          <w:tcPr>
            <w:tcW w:w="4496" w:type="dxa"/>
            <w:tcBorders>
              <w:top w:val="nil"/>
              <w:left w:val="nil"/>
              <w:bottom w:val="nil"/>
              <w:right w:val="nil"/>
            </w:tcBorders>
          </w:tcPr>
          <w:p w14:paraId="5175031C" w14:textId="77777777" w:rsidR="00632F55" w:rsidRPr="007D5B70" w:rsidRDefault="00632F55" w:rsidP="00632F55">
            <w:pPr>
              <w:tabs>
                <w:tab w:val="left" w:pos="567"/>
                <w:tab w:val="left" w:pos="2268"/>
              </w:tabs>
              <w:rPr>
                <w:rFonts w:ascii="Garamond" w:hAnsi="Garamond"/>
                <w:sz w:val="22"/>
                <w:highlight w:val="yellow"/>
                <w:lang w:val="nl-NL"/>
              </w:rPr>
            </w:pPr>
          </w:p>
        </w:tc>
        <w:tc>
          <w:tcPr>
            <w:tcW w:w="324" w:type="dxa"/>
            <w:tcBorders>
              <w:top w:val="nil"/>
              <w:left w:val="nil"/>
              <w:bottom w:val="nil"/>
              <w:right w:val="nil"/>
            </w:tcBorders>
          </w:tcPr>
          <w:p w14:paraId="1105354C" w14:textId="77777777" w:rsidR="00632F55" w:rsidRPr="00632F55" w:rsidRDefault="00632F55" w:rsidP="00632F55">
            <w:pPr>
              <w:tabs>
                <w:tab w:val="left" w:pos="2410"/>
              </w:tabs>
              <w:rPr>
                <w:rFonts w:ascii="Garamond" w:hAnsi="Garamond"/>
                <w:sz w:val="22"/>
                <w:lang w:val="nl-NL"/>
              </w:rPr>
            </w:pPr>
          </w:p>
        </w:tc>
        <w:tc>
          <w:tcPr>
            <w:tcW w:w="4463" w:type="dxa"/>
            <w:tcBorders>
              <w:top w:val="nil"/>
              <w:left w:val="nil"/>
              <w:bottom w:val="nil"/>
              <w:right w:val="nil"/>
            </w:tcBorders>
          </w:tcPr>
          <w:p w14:paraId="0FDA5C36" w14:textId="77777777" w:rsidR="00632F55" w:rsidRPr="00632F55" w:rsidRDefault="00632F55" w:rsidP="00632F55">
            <w:pPr>
              <w:tabs>
                <w:tab w:val="left" w:pos="2410"/>
              </w:tabs>
              <w:rPr>
                <w:rFonts w:ascii="Garamond" w:hAnsi="Garamond"/>
                <w:sz w:val="22"/>
                <w:lang w:val="nl-NL"/>
              </w:rPr>
            </w:pPr>
          </w:p>
        </w:tc>
      </w:tr>
      <w:tr w:rsidR="00632F55" w:rsidRPr="00BA2D73" w14:paraId="7D6BFFD3" w14:textId="77777777" w:rsidTr="0013508B">
        <w:trPr>
          <w:trHeight w:val="824"/>
        </w:trPr>
        <w:tc>
          <w:tcPr>
            <w:tcW w:w="4496" w:type="dxa"/>
            <w:tcBorders>
              <w:top w:val="nil"/>
              <w:left w:val="nil"/>
              <w:bottom w:val="nil"/>
              <w:right w:val="nil"/>
            </w:tcBorders>
          </w:tcPr>
          <w:p w14:paraId="65136A5A" w14:textId="4D0C2062" w:rsidR="00632F55" w:rsidRPr="004B7D74" w:rsidRDefault="00632F55" w:rsidP="00632F55">
            <w:pPr>
              <w:tabs>
                <w:tab w:val="left" w:pos="356"/>
                <w:tab w:val="left" w:pos="2268"/>
              </w:tabs>
              <w:jc w:val="both"/>
              <w:rPr>
                <w:rFonts w:ascii="Garamond" w:hAnsi="Garamond"/>
                <w:sz w:val="22"/>
                <w:lang w:val="fr-BE"/>
              </w:rPr>
            </w:pPr>
            <w:r w:rsidRPr="009A0342">
              <w:rPr>
                <w:rFonts w:ascii="Garamond" w:hAnsi="Garamond"/>
                <w:sz w:val="22"/>
                <w:lang w:val="nl-BE"/>
              </w:rPr>
              <w:tab/>
            </w:r>
            <w:r w:rsidRPr="005A1493">
              <w:rPr>
                <w:rFonts w:ascii="Garamond" w:hAnsi="Garamond"/>
                <w:sz w:val="22"/>
                <w:lang w:val="fr-BE"/>
              </w:rPr>
              <w:t>Vu la loi du 24 janvier 1977 relative à la protection de la santé des consommateurs en ce qui concerne les denrées alimentaires et les autres produits,</w:t>
            </w:r>
            <w:r>
              <w:rPr>
                <w:rFonts w:ascii="Garamond" w:hAnsi="Garamond"/>
                <w:bCs/>
                <w:sz w:val="22"/>
                <w:lang w:val="fr-BE"/>
              </w:rPr>
              <w:t xml:space="preserve"> </w:t>
            </w:r>
            <w:r w:rsidR="008624C5">
              <w:rPr>
                <w:rFonts w:ascii="Garamond" w:hAnsi="Garamond"/>
                <w:bCs/>
                <w:sz w:val="22"/>
                <w:lang w:val="fr-BE"/>
              </w:rPr>
              <w:t>l’article 2, alinéa 6, inséré</w:t>
            </w:r>
            <w:r w:rsidR="00BB640F">
              <w:rPr>
                <w:rFonts w:ascii="Garamond" w:hAnsi="Garamond"/>
                <w:bCs/>
                <w:sz w:val="22"/>
                <w:lang w:val="fr-BE"/>
              </w:rPr>
              <w:t xml:space="preserve"> par la loi du </w:t>
            </w:r>
            <w:r w:rsidR="008624C5">
              <w:rPr>
                <w:rFonts w:ascii="Garamond" w:hAnsi="Garamond"/>
                <w:bCs/>
                <w:sz w:val="22"/>
                <w:lang w:val="fr-BE"/>
              </w:rPr>
              <w:t>12</w:t>
            </w:r>
            <w:r w:rsidR="00BB640F">
              <w:rPr>
                <w:rFonts w:ascii="Garamond" w:hAnsi="Garamond"/>
                <w:bCs/>
                <w:sz w:val="22"/>
                <w:lang w:val="fr-BE"/>
              </w:rPr>
              <w:t xml:space="preserve"> </w:t>
            </w:r>
            <w:r w:rsidR="008624C5">
              <w:rPr>
                <w:rFonts w:ascii="Garamond" w:hAnsi="Garamond"/>
                <w:bCs/>
                <w:sz w:val="22"/>
                <w:lang w:val="fr-BE"/>
              </w:rPr>
              <w:t>juillet 2022</w:t>
            </w:r>
            <w:r w:rsidR="00F63AF9">
              <w:rPr>
                <w:rFonts w:ascii="Garamond" w:hAnsi="Garamond"/>
                <w:bCs/>
                <w:sz w:val="22"/>
                <w:lang w:val="fr-BE"/>
              </w:rPr>
              <w:t xml:space="preserve">, article 22quater, </w:t>
            </w:r>
            <w:r w:rsidR="0068775B">
              <w:rPr>
                <w:rFonts w:ascii="Garamond" w:hAnsi="Garamond"/>
                <w:bCs/>
                <w:sz w:val="22"/>
                <w:lang w:val="fr-BE"/>
              </w:rPr>
              <w:t>inséré</w:t>
            </w:r>
            <w:r w:rsidR="00F63AF9">
              <w:rPr>
                <w:rFonts w:ascii="Garamond" w:hAnsi="Garamond"/>
                <w:bCs/>
                <w:sz w:val="22"/>
                <w:lang w:val="fr-BE"/>
              </w:rPr>
              <w:t xml:space="preserve"> par la loi du 12 juillet 2022</w:t>
            </w:r>
            <w:r w:rsidR="00ED02EA">
              <w:rPr>
                <w:rFonts w:ascii="Garamond" w:hAnsi="Garamond"/>
                <w:bCs/>
                <w:sz w:val="22"/>
                <w:lang w:val="fr-BE"/>
              </w:rPr>
              <w:t xml:space="preserve"> </w:t>
            </w:r>
            <w:r w:rsidR="00BB640F">
              <w:rPr>
                <w:rFonts w:ascii="Garamond" w:hAnsi="Garamond"/>
                <w:bCs/>
                <w:sz w:val="22"/>
                <w:lang w:val="fr-BE"/>
              </w:rPr>
              <w:t>;</w:t>
            </w:r>
          </w:p>
        </w:tc>
        <w:tc>
          <w:tcPr>
            <w:tcW w:w="324" w:type="dxa"/>
            <w:tcBorders>
              <w:top w:val="nil"/>
              <w:left w:val="nil"/>
              <w:bottom w:val="nil"/>
              <w:right w:val="nil"/>
            </w:tcBorders>
          </w:tcPr>
          <w:p w14:paraId="34E3F250" w14:textId="77777777" w:rsidR="00632F55" w:rsidRPr="004B7D74" w:rsidRDefault="00632F55" w:rsidP="00632F55">
            <w:pPr>
              <w:pStyle w:val="Titre1"/>
              <w:rPr>
                <w:rFonts w:ascii="Garamond" w:hAnsi="Garamond"/>
                <w:sz w:val="22"/>
                <w:lang w:val="fr-BE"/>
              </w:rPr>
            </w:pPr>
          </w:p>
        </w:tc>
        <w:tc>
          <w:tcPr>
            <w:tcW w:w="4463" w:type="dxa"/>
            <w:tcBorders>
              <w:top w:val="nil"/>
              <w:left w:val="nil"/>
              <w:bottom w:val="nil"/>
              <w:right w:val="nil"/>
            </w:tcBorders>
          </w:tcPr>
          <w:p w14:paraId="27D3A4F4" w14:textId="4F52133E" w:rsidR="00632F55" w:rsidRPr="00DC208E" w:rsidRDefault="00632F55" w:rsidP="00632F55">
            <w:pPr>
              <w:pStyle w:val="Titre1"/>
              <w:tabs>
                <w:tab w:val="clear" w:pos="567"/>
                <w:tab w:val="left" w:pos="355"/>
              </w:tabs>
              <w:rPr>
                <w:rFonts w:ascii="Garamond" w:hAnsi="Garamond"/>
                <w:sz w:val="22"/>
                <w:lang w:val="nl-NL"/>
              </w:rPr>
            </w:pPr>
            <w:r w:rsidRPr="004B7D74">
              <w:rPr>
                <w:rFonts w:ascii="Garamond" w:hAnsi="Garamond"/>
                <w:sz w:val="22"/>
                <w:lang w:val="fr-BE"/>
              </w:rPr>
              <w:tab/>
            </w:r>
            <w:r w:rsidR="00DC208E">
              <w:rPr>
                <w:rFonts w:ascii="Garamond" w:hAnsi="Garamond"/>
                <w:sz w:val="22"/>
                <w:lang w:val="nl-NL"/>
              </w:rPr>
              <w:t xml:space="preserve">Gelet op de wet van </w:t>
            </w:r>
            <w:r w:rsidR="00DC208E" w:rsidRPr="00BA70EC">
              <w:rPr>
                <w:rFonts w:ascii="Garamond" w:hAnsi="Garamond"/>
                <w:sz w:val="22"/>
                <w:lang w:val="nl-NL"/>
              </w:rPr>
              <w:t>24 januari 1977 betreffende de bescherming van de gezondheid van de verbruikers op het stuk van de v</w:t>
            </w:r>
            <w:r w:rsidR="00DC208E">
              <w:rPr>
                <w:rFonts w:ascii="Garamond" w:hAnsi="Garamond"/>
                <w:sz w:val="22"/>
                <w:lang w:val="nl-NL"/>
              </w:rPr>
              <w:t xml:space="preserve">oedingsmiddelen en andere </w:t>
            </w:r>
            <w:proofErr w:type="spellStart"/>
            <w:r w:rsidR="00DC208E">
              <w:rPr>
                <w:rFonts w:ascii="Garamond" w:hAnsi="Garamond"/>
                <w:sz w:val="22"/>
                <w:lang w:val="nl-NL"/>
              </w:rPr>
              <w:t>produkten</w:t>
            </w:r>
            <w:proofErr w:type="spellEnd"/>
            <w:r w:rsidR="00DC208E" w:rsidRPr="00700B62">
              <w:rPr>
                <w:rFonts w:ascii="Garamond" w:hAnsi="Garamond"/>
                <w:bCs/>
                <w:sz w:val="22"/>
                <w:lang w:val="nl-BE"/>
              </w:rPr>
              <w:t xml:space="preserve">, artikel 2, </w:t>
            </w:r>
            <w:r w:rsidR="009D758C">
              <w:rPr>
                <w:rFonts w:ascii="Garamond" w:hAnsi="Garamond"/>
                <w:bCs/>
                <w:sz w:val="22"/>
                <w:lang w:val="nl-BE"/>
              </w:rPr>
              <w:t>zesde l</w:t>
            </w:r>
            <w:r w:rsidR="008624C5">
              <w:rPr>
                <w:rFonts w:ascii="Garamond" w:hAnsi="Garamond"/>
                <w:bCs/>
                <w:sz w:val="22"/>
                <w:lang w:val="nl-BE"/>
              </w:rPr>
              <w:t>id</w:t>
            </w:r>
            <w:r w:rsidR="00DC208E" w:rsidRPr="00700B62">
              <w:rPr>
                <w:rFonts w:ascii="Garamond" w:hAnsi="Garamond"/>
                <w:bCs/>
                <w:sz w:val="22"/>
                <w:lang w:val="nl-BE"/>
              </w:rPr>
              <w:t xml:space="preserve">, </w:t>
            </w:r>
            <w:r w:rsidR="001B0E47">
              <w:rPr>
                <w:rFonts w:ascii="Garamond" w:hAnsi="Garamond"/>
                <w:bCs/>
                <w:sz w:val="22"/>
                <w:lang w:val="nl-BE"/>
              </w:rPr>
              <w:t>ingevoegd</w:t>
            </w:r>
            <w:r w:rsidR="00DC208E" w:rsidRPr="00AF546D">
              <w:rPr>
                <w:rFonts w:ascii="Garamond" w:hAnsi="Garamond"/>
                <w:bCs/>
                <w:sz w:val="22"/>
                <w:lang w:val="nl-BE"/>
              </w:rPr>
              <w:t xml:space="preserve"> bij </w:t>
            </w:r>
            <w:r w:rsidR="00DC208E">
              <w:rPr>
                <w:rFonts w:ascii="Garamond" w:hAnsi="Garamond"/>
                <w:bCs/>
                <w:sz w:val="22"/>
                <w:lang w:val="nl-BE"/>
              </w:rPr>
              <w:t xml:space="preserve">de wet </w:t>
            </w:r>
            <w:r w:rsidR="00DC208E" w:rsidRPr="00AF546D">
              <w:rPr>
                <w:rFonts w:ascii="Garamond" w:hAnsi="Garamond"/>
                <w:bCs/>
                <w:sz w:val="22"/>
                <w:lang w:val="nl-BE"/>
              </w:rPr>
              <w:t xml:space="preserve">van </w:t>
            </w:r>
            <w:r w:rsidR="008624C5">
              <w:rPr>
                <w:rFonts w:ascii="Garamond" w:hAnsi="Garamond"/>
                <w:bCs/>
                <w:sz w:val="22"/>
                <w:lang w:val="nl-BE"/>
              </w:rPr>
              <w:t>1</w:t>
            </w:r>
            <w:r w:rsidR="00DC208E" w:rsidRPr="00AF546D">
              <w:rPr>
                <w:rFonts w:ascii="Garamond" w:hAnsi="Garamond"/>
                <w:bCs/>
                <w:sz w:val="22"/>
                <w:lang w:val="nl-BE"/>
              </w:rPr>
              <w:t xml:space="preserve">2 </w:t>
            </w:r>
            <w:r w:rsidR="008624C5">
              <w:rPr>
                <w:rFonts w:ascii="Garamond" w:hAnsi="Garamond"/>
                <w:bCs/>
                <w:sz w:val="22"/>
                <w:lang w:val="nl-BE"/>
              </w:rPr>
              <w:t>juli 2022</w:t>
            </w:r>
            <w:r w:rsidR="00F63AF9">
              <w:rPr>
                <w:rFonts w:ascii="Garamond" w:hAnsi="Garamond"/>
                <w:bCs/>
                <w:sz w:val="22"/>
                <w:lang w:val="nl-BE"/>
              </w:rPr>
              <w:t>, artikel 22quater, ingevoegd bij de wet van 12 juli 2022</w:t>
            </w:r>
            <w:r w:rsidR="00BB640F" w:rsidRPr="00700B62">
              <w:rPr>
                <w:rFonts w:ascii="Garamond" w:hAnsi="Garamond"/>
                <w:bCs/>
                <w:sz w:val="22"/>
                <w:lang w:val="nl-BE"/>
              </w:rPr>
              <w:t>;</w:t>
            </w:r>
          </w:p>
        </w:tc>
      </w:tr>
      <w:tr w:rsidR="00632F55" w:rsidRPr="00BA2D73" w14:paraId="0511B2C3" w14:textId="77777777" w:rsidTr="0013508B">
        <w:tc>
          <w:tcPr>
            <w:tcW w:w="4496" w:type="dxa"/>
            <w:tcBorders>
              <w:top w:val="nil"/>
              <w:left w:val="nil"/>
              <w:bottom w:val="nil"/>
              <w:right w:val="nil"/>
            </w:tcBorders>
          </w:tcPr>
          <w:p w14:paraId="33424407" w14:textId="77777777" w:rsidR="00632F55" w:rsidRPr="00DC208E" w:rsidRDefault="00632F55" w:rsidP="00632F55">
            <w:pPr>
              <w:tabs>
                <w:tab w:val="left" w:pos="567"/>
                <w:tab w:val="left" w:pos="2268"/>
              </w:tabs>
              <w:rPr>
                <w:rFonts w:ascii="Garamond" w:hAnsi="Garamond"/>
                <w:sz w:val="22"/>
                <w:lang w:val="nl-NL"/>
              </w:rPr>
            </w:pPr>
          </w:p>
        </w:tc>
        <w:tc>
          <w:tcPr>
            <w:tcW w:w="324" w:type="dxa"/>
            <w:tcBorders>
              <w:top w:val="nil"/>
              <w:left w:val="nil"/>
              <w:bottom w:val="nil"/>
              <w:right w:val="nil"/>
            </w:tcBorders>
          </w:tcPr>
          <w:p w14:paraId="10389C7C" w14:textId="77777777" w:rsidR="00632F55" w:rsidRPr="00DC208E" w:rsidRDefault="00632F55" w:rsidP="00632F55">
            <w:pPr>
              <w:tabs>
                <w:tab w:val="left" w:pos="2410"/>
              </w:tabs>
              <w:rPr>
                <w:rFonts w:ascii="Garamond" w:hAnsi="Garamond"/>
                <w:sz w:val="22"/>
                <w:lang w:val="nl-NL"/>
              </w:rPr>
            </w:pPr>
          </w:p>
        </w:tc>
        <w:tc>
          <w:tcPr>
            <w:tcW w:w="4463" w:type="dxa"/>
            <w:tcBorders>
              <w:top w:val="nil"/>
              <w:left w:val="nil"/>
              <w:bottom w:val="nil"/>
              <w:right w:val="nil"/>
            </w:tcBorders>
          </w:tcPr>
          <w:p w14:paraId="66D7EFA6" w14:textId="77777777" w:rsidR="00632F55" w:rsidRPr="00DC208E" w:rsidRDefault="00632F55" w:rsidP="00632F55">
            <w:pPr>
              <w:tabs>
                <w:tab w:val="left" w:pos="2410"/>
              </w:tabs>
              <w:rPr>
                <w:rFonts w:ascii="Garamond" w:hAnsi="Garamond"/>
                <w:sz w:val="22"/>
                <w:lang w:val="nl-NL"/>
              </w:rPr>
            </w:pPr>
          </w:p>
        </w:tc>
      </w:tr>
      <w:tr w:rsidR="001B0E47" w:rsidRPr="00BA2D73" w14:paraId="2018663E" w14:textId="77777777" w:rsidTr="0013508B">
        <w:tc>
          <w:tcPr>
            <w:tcW w:w="4496" w:type="dxa"/>
            <w:tcBorders>
              <w:top w:val="nil"/>
              <w:left w:val="nil"/>
              <w:bottom w:val="nil"/>
              <w:right w:val="nil"/>
            </w:tcBorders>
          </w:tcPr>
          <w:p w14:paraId="3A7958F5" w14:textId="0E7F3316" w:rsidR="001B0E47" w:rsidRPr="00C31B80" w:rsidRDefault="001B0E47" w:rsidP="001B0E47">
            <w:pPr>
              <w:tabs>
                <w:tab w:val="left" w:pos="356"/>
                <w:tab w:val="left" w:pos="2268"/>
              </w:tabs>
              <w:jc w:val="both"/>
              <w:rPr>
                <w:rFonts w:ascii="Garamond" w:hAnsi="Garamond"/>
                <w:sz w:val="22"/>
                <w:lang w:val="fr-BE"/>
              </w:rPr>
            </w:pPr>
            <w:r w:rsidRPr="00C31B80">
              <w:rPr>
                <w:rFonts w:ascii="Garamond" w:hAnsi="Garamond"/>
                <w:sz w:val="22"/>
                <w:lang w:val="nl-NL"/>
              </w:rPr>
              <w:tab/>
            </w:r>
            <w:r w:rsidRPr="00C31B80">
              <w:rPr>
                <w:rFonts w:ascii="Garamond" w:hAnsi="Garamond"/>
                <w:sz w:val="22"/>
              </w:rPr>
              <w:t>Vu l’avis de l’Inspecteur des Finances, donné le</w:t>
            </w:r>
            <w:r>
              <w:rPr>
                <w:rFonts w:ascii="Garamond" w:hAnsi="Garamond"/>
                <w:sz w:val="22"/>
              </w:rPr>
              <w:t xml:space="preserve"> XX XXX 2023</w:t>
            </w:r>
            <w:r w:rsidR="00ED02EA">
              <w:rPr>
                <w:rFonts w:ascii="Garamond" w:hAnsi="Garamond"/>
                <w:sz w:val="22"/>
              </w:rPr>
              <w:t xml:space="preserve"> </w:t>
            </w:r>
            <w:r w:rsidRPr="00C31B80">
              <w:rPr>
                <w:rFonts w:ascii="Garamond" w:hAnsi="Garamond"/>
                <w:sz w:val="22"/>
              </w:rPr>
              <w:t>;</w:t>
            </w:r>
          </w:p>
        </w:tc>
        <w:tc>
          <w:tcPr>
            <w:tcW w:w="324" w:type="dxa"/>
            <w:tcBorders>
              <w:top w:val="nil"/>
              <w:left w:val="nil"/>
              <w:bottom w:val="nil"/>
              <w:right w:val="nil"/>
            </w:tcBorders>
          </w:tcPr>
          <w:p w14:paraId="5C5675CF" w14:textId="77777777" w:rsidR="001B0E47" w:rsidRPr="004B7D74" w:rsidRDefault="001B0E47" w:rsidP="001B0E47">
            <w:pPr>
              <w:tabs>
                <w:tab w:val="left" w:pos="2410"/>
              </w:tabs>
              <w:rPr>
                <w:rFonts w:ascii="Garamond" w:hAnsi="Garamond"/>
                <w:sz w:val="22"/>
                <w:lang w:val="fr-BE"/>
              </w:rPr>
            </w:pPr>
          </w:p>
        </w:tc>
        <w:tc>
          <w:tcPr>
            <w:tcW w:w="4463" w:type="dxa"/>
            <w:tcBorders>
              <w:top w:val="nil"/>
              <w:left w:val="nil"/>
              <w:bottom w:val="nil"/>
              <w:right w:val="nil"/>
            </w:tcBorders>
          </w:tcPr>
          <w:p w14:paraId="7BF278FC" w14:textId="10A5FEE4" w:rsidR="001B0E47" w:rsidRPr="004422E2" w:rsidRDefault="001B0E47" w:rsidP="001B0E47">
            <w:pPr>
              <w:tabs>
                <w:tab w:val="left" w:pos="355"/>
                <w:tab w:val="left" w:pos="2410"/>
              </w:tabs>
              <w:jc w:val="both"/>
              <w:rPr>
                <w:rFonts w:ascii="Garamond" w:hAnsi="Garamond"/>
                <w:sz w:val="22"/>
                <w:lang w:val="nl-NL"/>
              </w:rPr>
            </w:pPr>
            <w:r w:rsidRPr="00852A5C">
              <w:rPr>
                <w:rFonts w:ascii="Garamond" w:hAnsi="Garamond"/>
                <w:sz w:val="22"/>
                <w:lang w:val="fr-BE"/>
              </w:rPr>
              <w:tab/>
            </w:r>
            <w:r w:rsidRPr="00EF7513">
              <w:rPr>
                <w:rFonts w:ascii="Garamond" w:hAnsi="Garamond"/>
                <w:sz w:val="22"/>
                <w:lang w:val="nl-BE"/>
              </w:rPr>
              <w:t>Gelet op het advies van de inspecteur van Financi</w:t>
            </w:r>
            <w:r>
              <w:rPr>
                <w:rFonts w:ascii="Garamond" w:hAnsi="Garamond"/>
                <w:sz w:val="22"/>
                <w:lang w:val="nl-BE"/>
              </w:rPr>
              <w:t>ën, gegeven op XX XXX 2023</w:t>
            </w:r>
            <w:r w:rsidRPr="004422E2">
              <w:rPr>
                <w:rFonts w:ascii="Garamond" w:hAnsi="Garamond"/>
                <w:sz w:val="22"/>
                <w:lang w:val="nl-NL"/>
              </w:rPr>
              <w:t>;</w:t>
            </w:r>
          </w:p>
        </w:tc>
      </w:tr>
      <w:tr w:rsidR="001B0E47" w:rsidRPr="00BA2D73" w14:paraId="69D75A87" w14:textId="77777777" w:rsidTr="0013508B">
        <w:tc>
          <w:tcPr>
            <w:tcW w:w="4496" w:type="dxa"/>
            <w:tcBorders>
              <w:top w:val="nil"/>
              <w:left w:val="nil"/>
              <w:bottom w:val="nil"/>
              <w:right w:val="nil"/>
            </w:tcBorders>
          </w:tcPr>
          <w:p w14:paraId="7779608C" w14:textId="77777777" w:rsidR="001B0E47" w:rsidRPr="004422E2" w:rsidRDefault="001B0E47" w:rsidP="001B0E47">
            <w:pPr>
              <w:tabs>
                <w:tab w:val="left" w:pos="356"/>
                <w:tab w:val="left" w:pos="2268"/>
              </w:tabs>
              <w:jc w:val="both"/>
              <w:rPr>
                <w:rFonts w:ascii="Garamond" w:hAnsi="Garamond"/>
                <w:sz w:val="22"/>
                <w:lang w:val="nl-NL"/>
              </w:rPr>
            </w:pPr>
          </w:p>
        </w:tc>
        <w:tc>
          <w:tcPr>
            <w:tcW w:w="324" w:type="dxa"/>
            <w:tcBorders>
              <w:top w:val="nil"/>
              <w:left w:val="nil"/>
              <w:bottom w:val="nil"/>
              <w:right w:val="nil"/>
            </w:tcBorders>
          </w:tcPr>
          <w:p w14:paraId="0679E482" w14:textId="77777777" w:rsidR="001B0E47" w:rsidRPr="00997685" w:rsidRDefault="001B0E47" w:rsidP="001B0E47">
            <w:pPr>
              <w:tabs>
                <w:tab w:val="left" w:pos="2410"/>
              </w:tabs>
              <w:rPr>
                <w:rFonts w:ascii="Garamond" w:hAnsi="Garamond"/>
                <w:sz w:val="22"/>
                <w:lang w:val="nl-BE"/>
              </w:rPr>
            </w:pPr>
          </w:p>
        </w:tc>
        <w:tc>
          <w:tcPr>
            <w:tcW w:w="4463" w:type="dxa"/>
            <w:tcBorders>
              <w:top w:val="nil"/>
              <w:left w:val="nil"/>
              <w:bottom w:val="nil"/>
              <w:right w:val="nil"/>
            </w:tcBorders>
          </w:tcPr>
          <w:p w14:paraId="0D3FF645" w14:textId="77777777" w:rsidR="001B0E47" w:rsidRPr="00997685" w:rsidRDefault="001B0E47" w:rsidP="001B0E47">
            <w:pPr>
              <w:tabs>
                <w:tab w:val="left" w:pos="355"/>
                <w:tab w:val="left" w:pos="2410"/>
              </w:tabs>
              <w:jc w:val="both"/>
              <w:rPr>
                <w:rFonts w:ascii="Garamond" w:hAnsi="Garamond"/>
                <w:sz w:val="22"/>
                <w:lang w:val="nl-BE"/>
              </w:rPr>
            </w:pPr>
          </w:p>
        </w:tc>
      </w:tr>
      <w:tr w:rsidR="006312CC" w:rsidRPr="00BA2D73" w14:paraId="000D626C" w14:textId="77777777" w:rsidTr="0013508B">
        <w:tc>
          <w:tcPr>
            <w:tcW w:w="4496" w:type="dxa"/>
            <w:tcBorders>
              <w:top w:val="nil"/>
              <w:left w:val="nil"/>
              <w:bottom w:val="nil"/>
              <w:right w:val="nil"/>
            </w:tcBorders>
          </w:tcPr>
          <w:p w14:paraId="0841590B" w14:textId="12D33144" w:rsidR="006312CC" w:rsidRPr="006312CC" w:rsidRDefault="006312CC" w:rsidP="001B0E47">
            <w:pPr>
              <w:tabs>
                <w:tab w:val="left" w:pos="356"/>
                <w:tab w:val="left" w:pos="2268"/>
              </w:tabs>
              <w:jc w:val="both"/>
              <w:rPr>
                <w:rFonts w:ascii="Garamond" w:hAnsi="Garamond"/>
                <w:sz w:val="22"/>
                <w:lang w:val="fr-BE"/>
              </w:rPr>
            </w:pPr>
            <w:r w:rsidRPr="00C31B80">
              <w:rPr>
                <w:rFonts w:ascii="Garamond" w:hAnsi="Garamond"/>
                <w:sz w:val="22"/>
                <w:lang w:val="nl-NL"/>
              </w:rPr>
              <w:tab/>
            </w:r>
            <w:r w:rsidRPr="006312CC">
              <w:rPr>
                <w:rFonts w:ascii="Garamond" w:hAnsi="Garamond"/>
                <w:sz w:val="22"/>
                <w:lang w:val="fr-BE"/>
              </w:rPr>
              <w:t>Vu l'accord de la Secrétaire d’Etat au Budget, donné le xx xxx 2023 ;</w:t>
            </w:r>
          </w:p>
        </w:tc>
        <w:tc>
          <w:tcPr>
            <w:tcW w:w="324" w:type="dxa"/>
            <w:tcBorders>
              <w:top w:val="nil"/>
              <w:left w:val="nil"/>
              <w:bottom w:val="nil"/>
              <w:right w:val="nil"/>
            </w:tcBorders>
          </w:tcPr>
          <w:p w14:paraId="4E019FB6" w14:textId="77777777" w:rsidR="006312CC" w:rsidRPr="006312CC" w:rsidRDefault="006312CC" w:rsidP="001B0E47">
            <w:pPr>
              <w:tabs>
                <w:tab w:val="left" w:pos="2410"/>
              </w:tabs>
              <w:rPr>
                <w:rFonts w:ascii="Garamond" w:hAnsi="Garamond"/>
                <w:sz w:val="22"/>
                <w:lang w:val="fr-BE"/>
              </w:rPr>
            </w:pPr>
          </w:p>
        </w:tc>
        <w:tc>
          <w:tcPr>
            <w:tcW w:w="4463" w:type="dxa"/>
            <w:tcBorders>
              <w:top w:val="nil"/>
              <w:left w:val="nil"/>
              <w:bottom w:val="nil"/>
              <w:right w:val="nil"/>
            </w:tcBorders>
          </w:tcPr>
          <w:p w14:paraId="2F58E31B" w14:textId="1B621A95" w:rsidR="006312CC" w:rsidRPr="008D0E5C" w:rsidRDefault="008D0E5C" w:rsidP="001B0E47">
            <w:pPr>
              <w:tabs>
                <w:tab w:val="left" w:pos="355"/>
                <w:tab w:val="left" w:pos="2410"/>
              </w:tabs>
              <w:jc w:val="both"/>
              <w:rPr>
                <w:rFonts w:ascii="Garamond" w:hAnsi="Garamond"/>
                <w:sz w:val="22"/>
                <w:lang w:val="nl-BE"/>
              </w:rPr>
            </w:pPr>
            <w:r w:rsidRPr="00852A5C">
              <w:rPr>
                <w:rFonts w:ascii="Garamond" w:hAnsi="Garamond"/>
                <w:sz w:val="22"/>
                <w:lang w:val="fr-BE"/>
              </w:rPr>
              <w:tab/>
            </w:r>
            <w:r w:rsidRPr="008D0E5C">
              <w:rPr>
                <w:rFonts w:ascii="Garamond" w:hAnsi="Garamond"/>
                <w:sz w:val="22"/>
                <w:lang w:val="nl-BE"/>
              </w:rPr>
              <w:t>Gelet op de akkoordbevinding v</w:t>
            </w:r>
            <w:r>
              <w:rPr>
                <w:rFonts w:ascii="Garamond" w:hAnsi="Garamond"/>
                <w:sz w:val="22"/>
                <w:lang w:val="nl-BE"/>
              </w:rPr>
              <w:t xml:space="preserve">an de Staatssecretaris voor Begroting, d.d. xxx </w:t>
            </w:r>
            <w:proofErr w:type="spellStart"/>
            <w:r>
              <w:rPr>
                <w:rFonts w:ascii="Garamond" w:hAnsi="Garamond"/>
                <w:sz w:val="22"/>
                <w:lang w:val="nl-BE"/>
              </w:rPr>
              <w:t>xxx</w:t>
            </w:r>
            <w:proofErr w:type="spellEnd"/>
            <w:r>
              <w:rPr>
                <w:rFonts w:ascii="Garamond" w:hAnsi="Garamond"/>
                <w:sz w:val="22"/>
                <w:lang w:val="nl-BE"/>
              </w:rPr>
              <w:t xml:space="preserve"> 2023;</w:t>
            </w:r>
          </w:p>
        </w:tc>
      </w:tr>
      <w:tr w:rsidR="006312CC" w:rsidRPr="00BA2D73" w14:paraId="44A36DC0" w14:textId="77777777" w:rsidTr="0013508B">
        <w:tc>
          <w:tcPr>
            <w:tcW w:w="4496" w:type="dxa"/>
            <w:tcBorders>
              <w:top w:val="nil"/>
              <w:left w:val="nil"/>
              <w:bottom w:val="nil"/>
              <w:right w:val="nil"/>
            </w:tcBorders>
          </w:tcPr>
          <w:p w14:paraId="1FB48829" w14:textId="77777777" w:rsidR="006312CC" w:rsidRPr="008D0E5C" w:rsidRDefault="006312CC" w:rsidP="001B0E47">
            <w:pPr>
              <w:tabs>
                <w:tab w:val="left" w:pos="356"/>
                <w:tab w:val="left" w:pos="2268"/>
              </w:tabs>
              <w:jc w:val="both"/>
              <w:rPr>
                <w:rFonts w:ascii="Garamond" w:hAnsi="Garamond"/>
                <w:sz w:val="22"/>
                <w:lang w:val="nl-BE"/>
              </w:rPr>
            </w:pPr>
          </w:p>
        </w:tc>
        <w:tc>
          <w:tcPr>
            <w:tcW w:w="324" w:type="dxa"/>
            <w:tcBorders>
              <w:top w:val="nil"/>
              <w:left w:val="nil"/>
              <w:bottom w:val="nil"/>
              <w:right w:val="nil"/>
            </w:tcBorders>
          </w:tcPr>
          <w:p w14:paraId="6BD85426" w14:textId="77777777" w:rsidR="006312CC" w:rsidRPr="008D0E5C" w:rsidRDefault="006312CC" w:rsidP="001B0E47">
            <w:pPr>
              <w:tabs>
                <w:tab w:val="left" w:pos="2410"/>
              </w:tabs>
              <w:rPr>
                <w:rFonts w:ascii="Garamond" w:hAnsi="Garamond"/>
                <w:sz w:val="22"/>
                <w:lang w:val="nl-BE"/>
              </w:rPr>
            </w:pPr>
          </w:p>
        </w:tc>
        <w:tc>
          <w:tcPr>
            <w:tcW w:w="4463" w:type="dxa"/>
            <w:tcBorders>
              <w:top w:val="nil"/>
              <w:left w:val="nil"/>
              <w:bottom w:val="nil"/>
              <w:right w:val="nil"/>
            </w:tcBorders>
          </w:tcPr>
          <w:p w14:paraId="65212C0A" w14:textId="77777777" w:rsidR="006312CC" w:rsidRPr="008D0E5C" w:rsidRDefault="006312CC" w:rsidP="001B0E47">
            <w:pPr>
              <w:tabs>
                <w:tab w:val="left" w:pos="355"/>
                <w:tab w:val="left" w:pos="2410"/>
              </w:tabs>
              <w:jc w:val="both"/>
              <w:rPr>
                <w:rFonts w:ascii="Garamond" w:hAnsi="Garamond"/>
                <w:sz w:val="22"/>
                <w:lang w:val="nl-BE"/>
              </w:rPr>
            </w:pPr>
          </w:p>
        </w:tc>
      </w:tr>
      <w:tr w:rsidR="001B0E47" w:rsidRPr="00BA2D73" w14:paraId="675258B0" w14:textId="77777777" w:rsidTr="0013508B">
        <w:tc>
          <w:tcPr>
            <w:tcW w:w="4496" w:type="dxa"/>
            <w:tcBorders>
              <w:top w:val="nil"/>
              <w:left w:val="nil"/>
              <w:bottom w:val="nil"/>
              <w:right w:val="nil"/>
            </w:tcBorders>
          </w:tcPr>
          <w:p w14:paraId="0944FA8D" w14:textId="37B950D2" w:rsidR="005A2FC1" w:rsidRPr="005C5859" w:rsidRDefault="001B0E47" w:rsidP="005C5859">
            <w:pPr>
              <w:tabs>
                <w:tab w:val="left" w:pos="356"/>
                <w:tab w:val="left" w:pos="2268"/>
              </w:tabs>
              <w:jc w:val="both"/>
              <w:rPr>
                <w:rFonts w:ascii="Garamond" w:hAnsi="Garamond"/>
                <w:sz w:val="22"/>
                <w:szCs w:val="22"/>
                <w:lang w:val="fr-BE"/>
              </w:rPr>
            </w:pPr>
            <w:r w:rsidRPr="005C5859">
              <w:rPr>
                <w:rFonts w:ascii="Garamond" w:hAnsi="Garamond"/>
                <w:sz w:val="22"/>
                <w:szCs w:val="22"/>
                <w:lang w:val="nl-BE"/>
              </w:rPr>
              <w:tab/>
            </w:r>
            <w:r w:rsidRPr="005C5859">
              <w:rPr>
                <w:rFonts w:ascii="Garamond" w:hAnsi="Garamond"/>
                <w:sz w:val="22"/>
                <w:szCs w:val="22"/>
                <w:lang w:val="fr-BE"/>
              </w:rPr>
              <w:t>Vu l’avis xxx du Conseil d’État, donné le XX XXX 2023, en application de l’article 84, §1</w:t>
            </w:r>
            <w:r w:rsidRPr="005C5859">
              <w:rPr>
                <w:rFonts w:ascii="Garamond" w:hAnsi="Garamond"/>
                <w:sz w:val="22"/>
                <w:szCs w:val="22"/>
                <w:vertAlign w:val="superscript"/>
                <w:lang w:val="fr-BE"/>
              </w:rPr>
              <w:t>er</w:t>
            </w:r>
            <w:r w:rsidRPr="005C5859">
              <w:rPr>
                <w:rFonts w:ascii="Garamond" w:hAnsi="Garamond"/>
                <w:sz w:val="22"/>
                <w:szCs w:val="22"/>
                <w:lang w:val="fr-BE"/>
              </w:rPr>
              <w:t>,  alinéa 1</w:t>
            </w:r>
            <w:r w:rsidRPr="005C5859">
              <w:rPr>
                <w:rFonts w:ascii="Garamond" w:hAnsi="Garamond"/>
                <w:sz w:val="22"/>
                <w:szCs w:val="22"/>
                <w:vertAlign w:val="superscript"/>
                <w:lang w:val="fr-BE"/>
              </w:rPr>
              <w:t>er</w:t>
            </w:r>
            <w:r w:rsidRPr="005C5859">
              <w:rPr>
                <w:rFonts w:ascii="Garamond" w:hAnsi="Garamond"/>
                <w:sz w:val="22"/>
                <w:szCs w:val="22"/>
                <w:lang w:val="fr-BE"/>
              </w:rPr>
              <w:t>, 2°, des lois sur le Conseil d’État, coordonnées le 12 janvier 1973</w:t>
            </w:r>
            <w:r w:rsidR="00ED02EA" w:rsidRPr="005C5859">
              <w:rPr>
                <w:rFonts w:ascii="Garamond" w:hAnsi="Garamond"/>
                <w:sz w:val="22"/>
                <w:szCs w:val="22"/>
                <w:lang w:val="fr-BE"/>
              </w:rPr>
              <w:t xml:space="preserve"> </w:t>
            </w:r>
            <w:r w:rsidRPr="005C5859">
              <w:rPr>
                <w:rFonts w:ascii="Garamond" w:hAnsi="Garamond"/>
                <w:sz w:val="22"/>
                <w:szCs w:val="22"/>
              </w:rPr>
              <w:t>;</w:t>
            </w:r>
          </w:p>
        </w:tc>
        <w:tc>
          <w:tcPr>
            <w:tcW w:w="324" w:type="dxa"/>
            <w:tcBorders>
              <w:top w:val="nil"/>
              <w:left w:val="nil"/>
              <w:bottom w:val="nil"/>
              <w:right w:val="nil"/>
            </w:tcBorders>
          </w:tcPr>
          <w:p w14:paraId="364CB6F5" w14:textId="77777777" w:rsidR="001B0E47" w:rsidRPr="005C5859" w:rsidRDefault="001B0E47" w:rsidP="001B0E47">
            <w:pPr>
              <w:tabs>
                <w:tab w:val="left" w:pos="2410"/>
              </w:tabs>
              <w:rPr>
                <w:rFonts w:ascii="Garamond" w:hAnsi="Garamond"/>
                <w:sz w:val="22"/>
                <w:szCs w:val="22"/>
                <w:lang w:val="fr-BE"/>
              </w:rPr>
            </w:pPr>
          </w:p>
        </w:tc>
        <w:tc>
          <w:tcPr>
            <w:tcW w:w="4463" w:type="dxa"/>
            <w:tcBorders>
              <w:top w:val="nil"/>
              <w:left w:val="nil"/>
              <w:bottom w:val="nil"/>
              <w:right w:val="nil"/>
            </w:tcBorders>
          </w:tcPr>
          <w:p w14:paraId="3813B6A3" w14:textId="62332F3C" w:rsidR="005C0043" w:rsidRPr="005C5859" w:rsidRDefault="001B0E47" w:rsidP="00A3787E">
            <w:pPr>
              <w:tabs>
                <w:tab w:val="left" w:pos="355"/>
                <w:tab w:val="left" w:pos="2410"/>
              </w:tabs>
              <w:jc w:val="both"/>
              <w:rPr>
                <w:rFonts w:ascii="Garamond" w:hAnsi="Garamond"/>
                <w:sz w:val="22"/>
                <w:szCs w:val="22"/>
                <w:lang w:val="nl-BE"/>
              </w:rPr>
            </w:pPr>
            <w:r w:rsidRPr="005C5859">
              <w:rPr>
                <w:rFonts w:ascii="Garamond" w:hAnsi="Garamond"/>
                <w:sz w:val="22"/>
                <w:szCs w:val="22"/>
                <w:lang w:val="fr-BE"/>
              </w:rPr>
              <w:tab/>
            </w:r>
            <w:r w:rsidRPr="005C5859">
              <w:rPr>
                <w:rFonts w:ascii="Garamond" w:hAnsi="Garamond"/>
                <w:sz w:val="22"/>
                <w:szCs w:val="22"/>
                <w:lang w:val="nl-NL"/>
              </w:rPr>
              <w:t>Gelet op advies xxx van de Raad van State, gegeven op XX XXX 2023, met toepassing van artikel 84, §1, eerste lid, 2°, van de gecoördineerde wetten op de Raad van State, gecoördineerd op 12 januari 1973;</w:t>
            </w:r>
          </w:p>
        </w:tc>
      </w:tr>
      <w:tr w:rsidR="00A3787E" w:rsidRPr="00BA2D73" w14:paraId="30946C7B" w14:textId="77777777" w:rsidTr="0013508B">
        <w:tc>
          <w:tcPr>
            <w:tcW w:w="4496" w:type="dxa"/>
            <w:tcBorders>
              <w:top w:val="nil"/>
              <w:left w:val="nil"/>
              <w:bottom w:val="nil"/>
              <w:right w:val="nil"/>
            </w:tcBorders>
          </w:tcPr>
          <w:p w14:paraId="23A9A628" w14:textId="77777777" w:rsidR="00A3787E" w:rsidRPr="005C5859" w:rsidRDefault="00A3787E" w:rsidP="001B0E47">
            <w:pPr>
              <w:tabs>
                <w:tab w:val="left" w:pos="356"/>
                <w:tab w:val="left" w:pos="2268"/>
              </w:tabs>
              <w:jc w:val="both"/>
              <w:rPr>
                <w:rFonts w:ascii="Garamond" w:hAnsi="Garamond"/>
                <w:sz w:val="22"/>
                <w:szCs w:val="22"/>
                <w:lang w:val="nl-BE"/>
              </w:rPr>
            </w:pPr>
          </w:p>
        </w:tc>
        <w:tc>
          <w:tcPr>
            <w:tcW w:w="324" w:type="dxa"/>
            <w:tcBorders>
              <w:top w:val="nil"/>
              <w:left w:val="nil"/>
              <w:bottom w:val="nil"/>
              <w:right w:val="nil"/>
            </w:tcBorders>
          </w:tcPr>
          <w:p w14:paraId="3E580AF2" w14:textId="77777777" w:rsidR="00A3787E" w:rsidRPr="005C5859" w:rsidRDefault="00A3787E" w:rsidP="001B0E47">
            <w:pPr>
              <w:tabs>
                <w:tab w:val="left" w:pos="2410"/>
              </w:tabs>
              <w:rPr>
                <w:rFonts w:ascii="Garamond" w:hAnsi="Garamond"/>
                <w:sz w:val="22"/>
                <w:szCs w:val="22"/>
                <w:lang w:val="nl-BE"/>
              </w:rPr>
            </w:pPr>
          </w:p>
        </w:tc>
        <w:tc>
          <w:tcPr>
            <w:tcW w:w="4463" w:type="dxa"/>
            <w:tcBorders>
              <w:top w:val="nil"/>
              <w:left w:val="nil"/>
              <w:bottom w:val="nil"/>
              <w:right w:val="nil"/>
            </w:tcBorders>
          </w:tcPr>
          <w:p w14:paraId="52A8CB84" w14:textId="77777777" w:rsidR="00A3787E" w:rsidRPr="005C5859" w:rsidRDefault="00A3787E" w:rsidP="001B0E47">
            <w:pPr>
              <w:tabs>
                <w:tab w:val="left" w:pos="355"/>
                <w:tab w:val="left" w:pos="2410"/>
              </w:tabs>
              <w:jc w:val="both"/>
              <w:rPr>
                <w:rFonts w:ascii="Garamond" w:hAnsi="Garamond"/>
                <w:sz w:val="22"/>
                <w:szCs w:val="22"/>
                <w:lang w:val="nl-BE"/>
              </w:rPr>
            </w:pPr>
          </w:p>
        </w:tc>
      </w:tr>
      <w:tr w:rsidR="00A3787E" w:rsidRPr="00BA2D73" w14:paraId="68851630" w14:textId="77777777" w:rsidTr="0013508B">
        <w:tc>
          <w:tcPr>
            <w:tcW w:w="4496" w:type="dxa"/>
            <w:tcBorders>
              <w:top w:val="nil"/>
              <w:left w:val="nil"/>
              <w:bottom w:val="nil"/>
              <w:right w:val="nil"/>
            </w:tcBorders>
          </w:tcPr>
          <w:p w14:paraId="582E7D43" w14:textId="57D68E75" w:rsidR="00A3787E" w:rsidRPr="005C5859" w:rsidRDefault="005C5859" w:rsidP="005C5859">
            <w:pPr>
              <w:tabs>
                <w:tab w:val="left" w:pos="356"/>
                <w:tab w:val="left" w:pos="2268"/>
              </w:tabs>
              <w:jc w:val="both"/>
              <w:rPr>
                <w:rFonts w:ascii="Garamond" w:hAnsi="Garamond"/>
                <w:sz w:val="22"/>
                <w:szCs w:val="22"/>
                <w:lang w:val="fr-BE"/>
              </w:rPr>
            </w:pPr>
            <w:r w:rsidRPr="005C5859">
              <w:rPr>
                <w:rFonts w:ascii="Garamond" w:hAnsi="Garamond"/>
                <w:sz w:val="22"/>
                <w:szCs w:val="22"/>
                <w:lang w:val="nl-BE"/>
              </w:rPr>
              <w:tab/>
            </w:r>
            <w:r w:rsidR="00A3787E" w:rsidRPr="005C5859">
              <w:rPr>
                <w:rFonts w:ascii="Garamond" w:hAnsi="Garamond"/>
                <w:sz w:val="22"/>
                <w:szCs w:val="22"/>
              </w:rPr>
              <w:t>Considérant</w:t>
            </w:r>
            <w:r w:rsidR="00A3787E" w:rsidRPr="005C5859">
              <w:rPr>
                <w:rFonts w:ascii="Garamond" w:hAnsi="Garamond"/>
                <w:sz w:val="22"/>
                <w:szCs w:val="22"/>
                <w:lang w:val="fr-BE"/>
              </w:rPr>
              <w:t xml:space="preserve"> la loi du 21 décembre 2013 visant à renforcer la transparence, l'indépendance et la crédibilité des décisions prises et avis rendus dans le domaine de la santé publique, de l'assurance-maladie, de la sécurité de la chaîne alimentaire et de l'environnement ;</w:t>
            </w:r>
          </w:p>
        </w:tc>
        <w:tc>
          <w:tcPr>
            <w:tcW w:w="324" w:type="dxa"/>
            <w:tcBorders>
              <w:top w:val="nil"/>
              <w:left w:val="nil"/>
              <w:bottom w:val="nil"/>
              <w:right w:val="nil"/>
            </w:tcBorders>
          </w:tcPr>
          <w:p w14:paraId="0A884790" w14:textId="77777777" w:rsidR="00A3787E" w:rsidRPr="005C5859" w:rsidRDefault="00A3787E" w:rsidP="001B0E47">
            <w:pPr>
              <w:tabs>
                <w:tab w:val="left" w:pos="2410"/>
              </w:tabs>
              <w:rPr>
                <w:rFonts w:ascii="Garamond" w:hAnsi="Garamond"/>
                <w:sz w:val="22"/>
                <w:szCs w:val="22"/>
                <w:lang w:val="fr-BE"/>
              </w:rPr>
            </w:pPr>
          </w:p>
        </w:tc>
        <w:tc>
          <w:tcPr>
            <w:tcW w:w="4463" w:type="dxa"/>
            <w:tcBorders>
              <w:top w:val="nil"/>
              <w:left w:val="nil"/>
              <w:bottom w:val="nil"/>
              <w:right w:val="nil"/>
            </w:tcBorders>
          </w:tcPr>
          <w:p w14:paraId="292E1915" w14:textId="7B055064" w:rsidR="00A3787E" w:rsidRPr="005C5859" w:rsidRDefault="005C5859" w:rsidP="001B0E47">
            <w:pPr>
              <w:tabs>
                <w:tab w:val="left" w:pos="355"/>
                <w:tab w:val="left" w:pos="2410"/>
              </w:tabs>
              <w:jc w:val="both"/>
              <w:rPr>
                <w:rFonts w:ascii="Garamond" w:hAnsi="Garamond"/>
                <w:sz w:val="22"/>
                <w:szCs w:val="22"/>
                <w:lang w:val="nl-BE"/>
              </w:rPr>
            </w:pPr>
            <w:r w:rsidRPr="00BA2D73">
              <w:rPr>
                <w:rFonts w:ascii="Garamond" w:hAnsi="Garamond"/>
                <w:sz w:val="22"/>
                <w:szCs w:val="22"/>
                <w:lang w:val="fr-BE"/>
              </w:rPr>
              <w:tab/>
            </w:r>
            <w:r w:rsidR="00A3787E" w:rsidRPr="005C5859">
              <w:rPr>
                <w:rFonts w:ascii="Garamond" w:hAnsi="Garamond"/>
                <w:sz w:val="22"/>
                <w:szCs w:val="22"/>
                <w:lang w:val="nl-BE"/>
              </w:rPr>
              <w:t>Overwegende de wet van 21 december 2013 tot versterking van de transparantie, de onafhankelijkheid en de geloofwaardigheid van de beslissingen en adviezen op het vlak van de gezondheid, de ziekteverzekering, de veiligheid van de voedselketen en het leefmilieu;</w:t>
            </w:r>
          </w:p>
        </w:tc>
      </w:tr>
      <w:tr w:rsidR="00A3787E" w:rsidRPr="00BA2D73" w14:paraId="74663001" w14:textId="77777777" w:rsidTr="0013508B">
        <w:tc>
          <w:tcPr>
            <w:tcW w:w="4496" w:type="dxa"/>
            <w:tcBorders>
              <w:top w:val="nil"/>
              <w:left w:val="nil"/>
              <w:bottom w:val="nil"/>
              <w:right w:val="nil"/>
            </w:tcBorders>
          </w:tcPr>
          <w:p w14:paraId="0E846721" w14:textId="77777777" w:rsidR="00A3787E" w:rsidRPr="005C5859" w:rsidRDefault="00A3787E" w:rsidP="001B0E47">
            <w:pPr>
              <w:tabs>
                <w:tab w:val="left" w:pos="356"/>
                <w:tab w:val="left" w:pos="2268"/>
              </w:tabs>
              <w:jc w:val="both"/>
              <w:rPr>
                <w:rFonts w:ascii="Garamond" w:hAnsi="Garamond"/>
                <w:sz w:val="22"/>
                <w:szCs w:val="22"/>
                <w:lang w:val="nl-BE"/>
              </w:rPr>
            </w:pPr>
          </w:p>
        </w:tc>
        <w:tc>
          <w:tcPr>
            <w:tcW w:w="324" w:type="dxa"/>
            <w:tcBorders>
              <w:top w:val="nil"/>
              <w:left w:val="nil"/>
              <w:bottom w:val="nil"/>
              <w:right w:val="nil"/>
            </w:tcBorders>
          </w:tcPr>
          <w:p w14:paraId="0875248C" w14:textId="77777777" w:rsidR="00A3787E" w:rsidRPr="005C5859" w:rsidRDefault="00A3787E" w:rsidP="001B0E47">
            <w:pPr>
              <w:tabs>
                <w:tab w:val="left" w:pos="2410"/>
              </w:tabs>
              <w:rPr>
                <w:rFonts w:ascii="Garamond" w:hAnsi="Garamond"/>
                <w:sz w:val="22"/>
                <w:szCs w:val="22"/>
                <w:lang w:val="nl-BE"/>
              </w:rPr>
            </w:pPr>
          </w:p>
        </w:tc>
        <w:tc>
          <w:tcPr>
            <w:tcW w:w="4463" w:type="dxa"/>
            <w:tcBorders>
              <w:top w:val="nil"/>
              <w:left w:val="nil"/>
              <w:bottom w:val="nil"/>
              <w:right w:val="nil"/>
            </w:tcBorders>
          </w:tcPr>
          <w:p w14:paraId="1107D43F" w14:textId="77777777" w:rsidR="00A3787E" w:rsidRPr="005C5859" w:rsidRDefault="00A3787E" w:rsidP="001B0E47">
            <w:pPr>
              <w:tabs>
                <w:tab w:val="left" w:pos="355"/>
                <w:tab w:val="left" w:pos="2410"/>
              </w:tabs>
              <w:jc w:val="both"/>
              <w:rPr>
                <w:rFonts w:ascii="Garamond" w:hAnsi="Garamond"/>
                <w:sz w:val="22"/>
                <w:szCs w:val="22"/>
                <w:lang w:val="nl-BE"/>
              </w:rPr>
            </w:pPr>
          </w:p>
        </w:tc>
      </w:tr>
      <w:tr w:rsidR="00A3787E" w:rsidRPr="00BA2D73" w14:paraId="049B9934" w14:textId="77777777" w:rsidTr="0013508B">
        <w:tc>
          <w:tcPr>
            <w:tcW w:w="4496" w:type="dxa"/>
            <w:tcBorders>
              <w:top w:val="nil"/>
              <w:left w:val="nil"/>
              <w:bottom w:val="nil"/>
              <w:right w:val="nil"/>
            </w:tcBorders>
          </w:tcPr>
          <w:p w14:paraId="659B9B0E" w14:textId="50C6F9F1" w:rsidR="00A3787E" w:rsidRPr="005C5859" w:rsidRDefault="005C5859" w:rsidP="005C5859">
            <w:pPr>
              <w:tabs>
                <w:tab w:val="left" w:pos="356"/>
                <w:tab w:val="left" w:pos="2268"/>
              </w:tabs>
              <w:jc w:val="both"/>
              <w:rPr>
                <w:rFonts w:ascii="Garamond" w:hAnsi="Garamond"/>
                <w:sz w:val="22"/>
                <w:szCs w:val="22"/>
                <w:lang w:val="fr-BE"/>
              </w:rPr>
            </w:pPr>
            <w:r w:rsidRPr="005C5859">
              <w:rPr>
                <w:rFonts w:ascii="Garamond" w:hAnsi="Garamond"/>
                <w:sz w:val="22"/>
                <w:szCs w:val="22"/>
                <w:lang w:val="nl-BE"/>
              </w:rPr>
              <w:tab/>
            </w:r>
            <w:r w:rsidR="00A3787E" w:rsidRPr="005C5859">
              <w:rPr>
                <w:rFonts w:ascii="Garamond" w:hAnsi="Garamond"/>
                <w:sz w:val="22"/>
                <w:szCs w:val="22"/>
                <w:lang w:val="fr-BE"/>
              </w:rPr>
              <w:t>Considérant l’arrêté royal du xx xxx 2023 relatif à la notification des effets indésirables liés à l'utilisation de denrées alimentaires ;</w:t>
            </w:r>
          </w:p>
        </w:tc>
        <w:tc>
          <w:tcPr>
            <w:tcW w:w="324" w:type="dxa"/>
            <w:tcBorders>
              <w:top w:val="nil"/>
              <w:left w:val="nil"/>
              <w:bottom w:val="nil"/>
              <w:right w:val="nil"/>
            </w:tcBorders>
          </w:tcPr>
          <w:p w14:paraId="1D9850D7" w14:textId="77777777" w:rsidR="00A3787E" w:rsidRPr="005C5859" w:rsidRDefault="00A3787E" w:rsidP="001B0E47">
            <w:pPr>
              <w:tabs>
                <w:tab w:val="left" w:pos="2410"/>
              </w:tabs>
              <w:rPr>
                <w:rFonts w:ascii="Garamond" w:hAnsi="Garamond"/>
                <w:sz w:val="22"/>
                <w:szCs w:val="22"/>
                <w:lang w:val="fr-BE"/>
              </w:rPr>
            </w:pPr>
          </w:p>
        </w:tc>
        <w:tc>
          <w:tcPr>
            <w:tcW w:w="4463" w:type="dxa"/>
            <w:tcBorders>
              <w:top w:val="nil"/>
              <w:left w:val="nil"/>
              <w:bottom w:val="nil"/>
              <w:right w:val="nil"/>
            </w:tcBorders>
          </w:tcPr>
          <w:p w14:paraId="7761F908" w14:textId="15EA18D2" w:rsidR="00A3787E" w:rsidRPr="005C5859" w:rsidRDefault="005C5859" w:rsidP="001B0E47">
            <w:pPr>
              <w:tabs>
                <w:tab w:val="left" w:pos="355"/>
                <w:tab w:val="left" w:pos="2410"/>
              </w:tabs>
              <w:jc w:val="both"/>
              <w:rPr>
                <w:rFonts w:ascii="Garamond" w:hAnsi="Garamond"/>
                <w:sz w:val="22"/>
                <w:szCs w:val="22"/>
                <w:lang w:val="nl-BE"/>
              </w:rPr>
            </w:pPr>
            <w:r w:rsidRPr="00BA2D73">
              <w:rPr>
                <w:rFonts w:ascii="Garamond" w:hAnsi="Garamond"/>
                <w:sz w:val="22"/>
                <w:szCs w:val="22"/>
                <w:lang w:val="fr-BE"/>
              </w:rPr>
              <w:tab/>
            </w:r>
            <w:r w:rsidR="00A3787E" w:rsidRPr="005C5859">
              <w:rPr>
                <w:rFonts w:ascii="Garamond" w:hAnsi="Garamond"/>
                <w:sz w:val="22"/>
                <w:szCs w:val="22"/>
                <w:lang w:val="nl-BE"/>
              </w:rPr>
              <w:t xml:space="preserve">Overwegende het koninklijk besluit van xxx </w:t>
            </w:r>
            <w:proofErr w:type="spellStart"/>
            <w:r w:rsidR="00A3787E" w:rsidRPr="005C5859">
              <w:rPr>
                <w:rFonts w:ascii="Garamond" w:hAnsi="Garamond"/>
                <w:sz w:val="22"/>
                <w:szCs w:val="22"/>
                <w:lang w:val="nl-BE"/>
              </w:rPr>
              <w:t>xxx</w:t>
            </w:r>
            <w:proofErr w:type="spellEnd"/>
            <w:r w:rsidR="00A3787E" w:rsidRPr="005C5859">
              <w:rPr>
                <w:rFonts w:ascii="Garamond" w:hAnsi="Garamond"/>
                <w:sz w:val="22"/>
                <w:szCs w:val="22"/>
                <w:lang w:val="nl-BE"/>
              </w:rPr>
              <w:t xml:space="preserve"> 2023 betreffende de melding van bijwerkingen in verband met het gebruik van voedingsmiddelen;</w:t>
            </w:r>
          </w:p>
        </w:tc>
      </w:tr>
      <w:tr w:rsidR="001B0E47" w:rsidRPr="00BA2D73" w14:paraId="1EBE20D5" w14:textId="77777777" w:rsidTr="0013508B">
        <w:tc>
          <w:tcPr>
            <w:tcW w:w="4496" w:type="dxa"/>
            <w:tcBorders>
              <w:top w:val="nil"/>
              <w:left w:val="nil"/>
              <w:bottom w:val="nil"/>
              <w:right w:val="nil"/>
            </w:tcBorders>
          </w:tcPr>
          <w:p w14:paraId="18C56C54" w14:textId="77777777" w:rsidR="001B0E47" w:rsidRPr="005C5859" w:rsidRDefault="001B0E47" w:rsidP="001B0E47">
            <w:pPr>
              <w:tabs>
                <w:tab w:val="left" w:pos="356"/>
                <w:tab w:val="left" w:pos="2268"/>
              </w:tabs>
              <w:jc w:val="both"/>
              <w:rPr>
                <w:rFonts w:ascii="Garamond" w:hAnsi="Garamond"/>
                <w:sz w:val="22"/>
                <w:szCs w:val="22"/>
                <w:lang w:val="nl-NL"/>
              </w:rPr>
            </w:pPr>
          </w:p>
        </w:tc>
        <w:tc>
          <w:tcPr>
            <w:tcW w:w="324" w:type="dxa"/>
            <w:tcBorders>
              <w:top w:val="nil"/>
              <w:left w:val="nil"/>
              <w:bottom w:val="nil"/>
              <w:right w:val="nil"/>
            </w:tcBorders>
          </w:tcPr>
          <w:p w14:paraId="68D99C3E" w14:textId="77777777" w:rsidR="001B0E47" w:rsidRPr="005C5859" w:rsidRDefault="001B0E47" w:rsidP="001B0E47">
            <w:pPr>
              <w:tabs>
                <w:tab w:val="left" w:pos="2410"/>
              </w:tabs>
              <w:rPr>
                <w:rFonts w:ascii="Garamond" w:hAnsi="Garamond"/>
                <w:sz w:val="22"/>
                <w:szCs w:val="22"/>
                <w:lang w:val="nl-NL"/>
              </w:rPr>
            </w:pPr>
          </w:p>
        </w:tc>
        <w:tc>
          <w:tcPr>
            <w:tcW w:w="4463" w:type="dxa"/>
            <w:tcBorders>
              <w:top w:val="nil"/>
              <w:left w:val="nil"/>
              <w:bottom w:val="nil"/>
              <w:right w:val="nil"/>
            </w:tcBorders>
          </w:tcPr>
          <w:p w14:paraId="7F4BEC88" w14:textId="77777777" w:rsidR="001B0E47" w:rsidRPr="005C5859" w:rsidRDefault="001B0E47" w:rsidP="001B0E47">
            <w:pPr>
              <w:tabs>
                <w:tab w:val="left" w:pos="355"/>
                <w:tab w:val="left" w:pos="2410"/>
              </w:tabs>
              <w:jc w:val="both"/>
              <w:rPr>
                <w:rFonts w:ascii="Garamond" w:hAnsi="Garamond"/>
                <w:sz w:val="22"/>
                <w:szCs w:val="22"/>
                <w:lang w:val="nl-NL"/>
              </w:rPr>
            </w:pPr>
          </w:p>
        </w:tc>
      </w:tr>
      <w:tr w:rsidR="001B0E47" w:rsidRPr="00BA2D73" w14:paraId="1CD1BCE6" w14:textId="77777777" w:rsidTr="0013508B">
        <w:tc>
          <w:tcPr>
            <w:tcW w:w="4496" w:type="dxa"/>
            <w:tcBorders>
              <w:top w:val="nil"/>
              <w:left w:val="nil"/>
              <w:bottom w:val="nil"/>
              <w:right w:val="nil"/>
            </w:tcBorders>
          </w:tcPr>
          <w:p w14:paraId="37152265" w14:textId="587136D7" w:rsidR="001B0E47" w:rsidRPr="005C5859" w:rsidRDefault="001B0E47" w:rsidP="001B0E47">
            <w:pPr>
              <w:tabs>
                <w:tab w:val="left" w:pos="356"/>
                <w:tab w:val="left" w:pos="567"/>
                <w:tab w:val="left" w:pos="2268"/>
              </w:tabs>
              <w:jc w:val="both"/>
              <w:rPr>
                <w:rFonts w:ascii="Garamond" w:hAnsi="Garamond"/>
                <w:sz w:val="22"/>
                <w:szCs w:val="22"/>
                <w:lang w:val="fr-BE"/>
              </w:rPr>
            </w:pPr>
            <w:r w:rsidRPr="005C5859">
              <w:rPr>
                <w:rFonts w:ascii="Garamond" w:hAnsi="Garamond"/>
                <w:sz w:val="22"/>
                <w:szCs w:val="22"/>
                <w:lang w:val="nl-NL"/>
              </w:rPr>
              <w:lastRenderedPageBreak/>
              <w:tab/>
            </w:r>
            <w:r w:rsidRPr="005C5859">
              <w:rPr>
                <w:rFonts w:ascii="Garamond" w:hAnsi="Garamond"/>
                <w:sz w:val="22"/>
                <w:szCs w:val="22"/>
                <w:lang w:val="fr-BE"/>
              </w:rPr>
              <w:t>Sur la proposition du Ministre de la Santé        publique et du Ministre de l’Agriculture,</w:t>
            </w:r>
          </w:p>
        </w:tc>
        <w:tc>
          <w:tcPr>
            <w:tcW w:w="324" w:type="dxa"/>
            <w:tcBorders>
              <w:top w:val="nil"/>
              <w:left w:val="nil"/>
              <w:bottom w:val="nil"/>
              <w:right w:val="nil"/>
            </w:tcBorders>
          </w:tcPr>
          <w:p w14:paraId="40D560A5" w14:textId="77777777" w:rsidR="001B0E47" w:rsidRPr="005C5859" w:rsidRDefault="001B0E47" w:rsidP="001B0E47">
            <w:pPr>
              <w:pStyle w:val="Pieddepage"/>
              <w:tabs>
                <w:tab w:val="clear" w:pos="4536"/>
                <w:tab w:val="clear" w:pos="9072"/>
                <w:tab w:val="left" w:pos="567"/>
                <w:tab w:val="left" w:pos="2410"/>
              </w:tabs>
              <w:jc w:val="both"/>
              <w:rPr>
                <w:rFonts w:ascii="Garamond" w:hAnsi="Garamond"/>
                <w:sz w:val="22"/>
                <w:szCs w:val="22"/>
                <w:lang w:val="fr-BE"/>
              </w:rPr>
            </w:pPr>
          </w:p>
        </w:tc>
        <w:tc>
          <w:tcPr>
            <w:tcW w:w="4463" w:type="dxa"/>
            <w:tcBorders>
              <w:top w:val="nil"/>
              <w:left w:val="nil"/>
              <w:bottom w:val="nil"/>
              <w:right w:val="nil"/>
            </w:tcBorders>
          </w:tcPr>
          <w:p w14:paraId="54E97F9E" w14:textId="0C8FED42" w:rsidR="001B0E47" w:rsidRPr="005C5859" w:rsidRDefault="001B0E47" w:rsidP="001B0E47">
            <w:pPr>
              <w:pStyle w:val="Pieddepage"/>
              <w:tabs>
                <w:tab w:val="clear" w:pos="4536"/>
                <w:tab w:val="clear" w:pos="9072"/>
                <w:tab w:val="left" w:pos="355"/>
                <w:tab w:val="left" w:pos="567"/>
                <w:tab w:val="left" w:pos="2410"/>
              </w:tabs>
              <w:jc w:val="both"/>
              <w:rPr>
                <w:rFonts w:ascii="Garamond" w:hAnsi="Garamond"/>
                <w:sz w:val="22"/>
                <w:szCs w:val="22"/>
                <w:lang w:val="nl-NL"/>
              </w:rPr>
            </w:pPr>
            <w:r w:rsidRPr="005C5859">
              <w:rPr>
                <w:rFonts w:ascii="Garamond" w:hAnsi="Garamond"/>
                <w:sz w:val="22"/>
                <w:szCs w:val="22"/>
                <w:lang w:val="fr-BE"/>
              </w:rPr>
              <w:tab/>
            </w:r>
            <w:r w:rsidRPr="005C5859">
              <w:rPr>
                <w:rFonts w:ascii="Garamond" w:hAnsi="Garamond"/>
                <w:sz w:val="22"/>
                <w:szCs w:val="22"/>
                <w:lang w:val="nl-NL"/>
              </w:rPr>
              <w:t xml:space="preserve">Op de voordracht van de Minister van Volksgezondheid en van de Minister van Landbouw, </w:t>
            </w:r>
          </w:p>
        </w:tc>
      </w:tr>
      <w:tr w:rsidR="001B0E47" w:rsidRPr="00BA2D73" w14:paraId="13905062" w14:textId="77777777" w:rsidTr="0013508B">
        <w:tc>
          <w:tcPr>
            <w:tcW w:w="4496" w:type="dxa"/>
            <w:tcBorders>
              <w:top w:val="nil"/>
              <w:left w:val="nil"/>
              <w:bottom w:val="nil"/>
              <w:right w:val="nil"/>
            </w:tcBorders>
          </w:tcPr>
          <w:p w14:paraId="354877A1" w14:textId="77777777" w:rsidR="001B0E47" w:rsidRPr="004422E2" w:rsidRDefault="001B0E47" w:rsidP="001B0E47">
            <w:pPr>
              <w:tabs>
                <w:tab w:val="left" w:pos="356"/>
                <w:tab w:val="left" w:pos="567"/>
                <w:tab w:val="left" w:pos="2268"/>
              </w:tabs>
              <w:jc w:val="both"/>
              <w:rPr>
                <w:rFonts w:ascii="Garamond" w:hAnsi="Garamond"/>
                <w:sz w:val="22"/>
                <w:lang w:val="nl-NL"/>
              </w:rPr>
            </w:pPr>
          </w:p>
        </w:tc>
        <w:tc>
          <w:tcPr>
            <w:tcW w:w="324" w:type="dxa"/>
            <w:tcBorders>
              <w:top w:val="nil"/>
              <w:left w:val="nil"/>
              <w:bottom w:val="nil"/>
              <w:right w:val="nil"/>
            </w:tcBorders>
          </w:tcPr>
          <w:p w14:paraId="38223E8B" w14:textId="77777777" w:rsidR="001B0E47" w:rsidRPr="004422E2" w:rsidRDefault="001B0E47" w:rsidP="001B0E47">
            <w:pPr>
              <w:tabs>
                <w:tab w:val="left" w:pos="2410"/>
              </w:tabs>
              <w:rPr>
                <w:rFonts w:ascii="Garamond" w:hAnsi="Garamond"/>
                <w:sz w:val="22"/>
                <w:lang w:val="nl-NL"/>
              </w:rPr>
            </w:pPr>
          </w:p>
        </w:tc>
        <w:tc>
          <w:tcPr>
            <w:tcW w:w="4463" w:type="dxa"/>
            <w:tcBorders>
              <w:top w:val="nil"/>
              <w:left w:val="nil"/>
              <w:bottom w:val="nil"/>
              <w:right w:val="nil"/>
            </w:tcBorders>
          </w:tcPr>
          <w:p w14:paraId="14C63949" w14:textId="77777777" w:rsidR="001B0E47" w:rsidRPr="004422E2" w:rsidRDefault="001B0E47" w:rsidP="001B0E47">
            <w:pPr>
              <w:tabs>
                <w:tab w:val="left" w:pos="355"/>
                <w:tab w:val="left" w:pos="2410"/>
              </w:tabs>
              <w:jc w:val="both"/>
              <w:rPr>
                <w:rFonts w:ascii="Garamond" w:hAnsi="Garamond"/>
                <w:sz w:val="22"/>
                <w:lang w:val="nl-NL"/>
              </w:rPr>
            </w:pPr>
          </w:p>
        </w:tc>
      </w:tr>
      <w:tr w:rsidR="001B0E47" w:rsidRPr="00BA2D73" w14:paraId="3A1AD073" w14:textId="77777777" w:rsidTr="0013508B">
        <w:tc>
          <w:tcPr>
            <w:tcW w:w="4496" w:type="dxa"/>
            <w:tcBorders>
              <w:top w:val="nil"/>
              <w:left w:val="nil"/>
              <w:bottom w:val="nil"/>
              <w:right w:val="nil"/>
            </w:tcBorders>
          </w:tcPr>
          <w:p w14:paraId="22686F2F" w14:textId="0B5075A6" w:rsidR="001B0E47" w:rsidRPr="00C35E6B" w:rsidRDefault="001B0E47" w:rsidP="001B0E47">
            <w:pPr>
              <w:tabs>
                <w:tab w:val="left" w:pos="567"/>
                <w:tab w:val="left" w:pos="2268"/>
              </w:tabs>
              <w:ind w:left="567"/>
              <w:rPr>
                <w:rFonts w:ascii="Garamond" w:hAnsi="Garamond"/>
                <w:caps/>
                <w:sz w:val="22"/>
                <w:lang w:val="fr-BE"/>
              </w:rPr>
            </w:pPr>
            <w:r w:rsidRPr="00185852">
              <w:rPr>
                <w:rFonts w:ascii="Garamond" w:hAnsi="Garamond"/>
                <w:caps/>
                <w:sz w:val="22"/>
                <w:lang w:val="fr-BE"/>
              </w:rPr>
              <w:t>Nous avons arrêté et arrêtons</w:t>
            </w:r>
            <w:r w:rsidRPr="00C35E6B">
              <w:rPr>
                <w:rFonts w:ascii="Garamond" w:hAnsi="Garamond"/>
                <w:caps/>
                <w:sz w:val="22"/>
                <w:lang w:val="fr-BE"/>
              </w:rPr>
              <w:t xml:space="preserve">: </w:t>
            </w:r>
          </w:p>
        </w:tc>
        <w:tc>
          <w:tcPr>
            <w:tcW w:w="324" w:type="dxa"/>
            <w:tcBorders>
              <w:top w:val="nil"/>
              <w:left w:val="nil"/>
              <w:bottom w:val="nil"/>
              <w:right w:val="nil"/>
            </w:tcBorders>
          </w:tcPr>
          <w:p w14:paraId="1B7E1EAA" w14:textId="77777777" w:rsidR="001B0E47" w:rsidRPr="00C35E6B" w:rsidRDefault="001B0E47" w:rsidP="001B0E47">
            <w:pPr>
              <w:tabs>
                <w:tab w:val="left" w:pos="567"/>
                <w:tab w:val="left" w:pos="2410"/>
              </w:tabs>
              <w:jc w:val="center"/>
              <w:rPr>
                <w:rFonts w:ascii="Garamond" w:hAnsi="Garamond"/>
                <w:sz w:val="22"/>
                <w:lang w:val="fr-BE"/>
              </w:rPr>
            </w:pPr>
          </w:p>
        </w:tc>
        <w:tc>
          <w:tcPr>
            <w:tcW w:w="4463" w:type="dxa"/>
            <w:tcBorders>
              <w:top w:val="nil"/>
              <w:left w:val="nil"/>
              <w:bottom w:val="nil"/>
              <w:right w:val="nil"/>
            </w:tcBorders>
          </w:tcPr>
          <w:p w14:paraId="506B2943" w14:textId="72658451" w:rsidR="001B0E47" w:rsidRPr="004422E2" w:rsidRDefault="001B0E47" w:rsidP="001B0E47">
            <w:pPr>
              <w:tabs>
                <w:tab w:val="left" w:pos="355"/>
                <w:tab w:val="left" w:pos="2410"/>
              </w:tabs>
              <w:jc w:val="center"/>
              <w:rPr>
                <w:rFonts w:ascii="Garamond" w:hAnsi="Garamond"/>
                <w:caps/>
                <w:sz w:val="22"/>
                <w:lang w:val="nl-NL"/>
              </w:rPr>
            </w:pPr>
            <w:r w:rsidRPr="00185852">
              <w:rPr>
                <w:rFonts w:ascii="Garamond" w:hAnsi="Garamond"/>
                <w:caps/>
                <w:sz w:val="22"/>
                <w:lang w:val="nl-NL"/>
              </w:rPr>
              <w:t>Hebben Wij besloten en besluiten Wij</w:t>
            </w:r>
            <w:r w:rsidRPr="004422E2">
              <w:rPr>
                <w:rFonts w:ascii="Garamond" w:hAnsi="Garamond"/>
                <w:caps/>
                <w:sz w:val="22"/>
                <w:lang w:val="nl-NL"/>
              </w:rPr>
              <w:t>:</w:t>
            </w:r>
          </w:p>
        </w:tc>
      </w:tr>
      <w:tr w:rsidR="001B0E47" w:rsidRPr="00BA2D73" w14:paraId="66D5AA0B" w14:textId="77777777" w:rsidTr="0013508B">
        <w:tc>
          <w:tcPr>
            <w:tcW w:w="4496" w:type="dxa"/>
            <w:tcBorders>
              <w:top w:val="nil"/>
              <w:left w:val="nil"/>
              <w:bottom w:val="nil"/>
              <w:right w:val="nil"/>
            </w:tcBorders>
          </w:tcPr>
          <w:p w14:paraId="31BB8ED7" w14:textId="77777777" w:rsidR="001B0E47" w:rsidRPr="004422E2" w:rsidRDefault="001B0E47" w:rsidP="001B0E47">
            <w:pPr>
              <w:tabs>
                <w:tab w:val="left" w:pos="567"/>
                <w:tab w:val="left" w:pos="2268"/>
              </w:tabs>
              <w:jc w:val="both"/>
              <w:rPr>
                <w:rFonts w:ascii="Garamond" w:hAnsi="Garamond"/>
                <w:sz w:val="22"/>
                <w:lang w:val="nl-NL"/>
              </w:rPr>
            </w:pPr>
          </w:p>
        </w:tc>
        <w:tc>
          <w:tcPr>
            <w:tcW w:w="324" w:type="dxa"/>
            <w:tcBorders>
              <w:top w:val="nil"/>
              <w:left w:val="nil"/>
              <w:bottom w:val="nil"/>
              <w:right w:val="nil"/>
            </w:tcBorders>
          </w:tcPr>
          <w:p w14:paraId="03639764" w14:textId="77777777" w:rsidR="001B0E47" w:rsidRPr="004422E2" w:rsidRDefault="001B0E47" w:rsidP="001B0E47">
            <w:pPr>
              <w:tabs>
                <w:tab w:val="left" w:pos="567"/>
                <w:tab w:val="left" w:pos="2410"/>
              </w:tabs>
              <w:jc w:val="both"/>
              <w:rPr>
                <w:rFonts w:ascii="Garamond" w:hAnsi="Garamond"/>
                <w:sz w:val="22"/>
                <w:lang w:val="nl-NL"/>
              </w:rPr>
            </w:pPr>
          </w:p>
        </w:tc>
        <w:tc>
          <w:tcPr>
            <w:tcW w:w="4463" w:type="dxa"/>
            <w:tcBorders>
              <w:top w:val="nil"/>
              <w:left w:val="nil"/>
              <w:bottom w:val="nil"/>
              <w:right w:val="nil"/>
            </w:tcBorders>
          </w:tcPr>
          <w:p w14:paraId="1EB37D2B" w14:textId="77777777" w:rsidR="001B0E47" w:rsidRPr="004422E2" w:rsidRDefault="001B0E47" w:rsidP="001B0E47">
            <w:pPr>
              <w:tabs>
                <w:tab w:val="left" w:pos="567"/>
                <w:tab w:val="left" w:pos="2410"/>
              </w:tabs>
              <w:jc w:val="both"/>
              <w:rPr>
                <w:rFonts w:ascii="Garamond" w:hAnsi="Garamond"/>
                <w:sz w:val="22"/>
                <w:lang w:val="nl-NL"/>
              </w:rPr>
            </w:pPr>
          </w:p>
        </w:tc>
      </w:tr>
      <w:tr w:rsidR="00175401" w:rsidRPr="00BA2D73" w14:paraId="51C3149B" w14:textId="77777777" w:rsidTr="0013508B">
        <w:tc>
          <w:tcPr>
            <w:tcW w:w="4496" w:type="dxa"/>
            <w:tcBorders>
              <w:top w:val="nil"/>
              <w:left w:val="nil"/>
              <w:bottom w:val="nil"/>
              <w:right w:val="nil"/>
            </w:tcBorders>
          </w:tcPr>
          <w:p w14:paraId="136F46E5" w14:textId="77777777" w:rsidR="00175401" w:rsidRPr="00175401" w:rsidRDefault="00175401" w:rsidP="00175401">
            <w:pPr>
              <w:tabs>
                <w:tab w:val="left" w:pos="567"/>
                <w:tab w:val="left" w:pos="2268"/>
              </w:tabs>
              <w:jc w:val="both"/>
              <w:rPr>
                <w:rFonts w:ascii="Garamond" w:hAnsi="Garamond"/>
                <w:sz w:val="22"/>
              </w:rPr>
            </w:pPr>
            <w:r>
              <w:rPr>
                <w:rFonts w:ascii="Garamond" w:hAnsi="Garamond"/>
                <w:b/>
                <w:sz w:val="22"/>
                <w:lang w:val="fr-BE"/>
              </w:rPr>
              <w:t>Article 1</w:t>
            </w:r>
            <w:r w:rsidRPr="00D914F9">
              <w:rPr>
                <w:rFonts w:ascii="Garamond" w:hAnsi="Garamond"/>
                <w:b/>
                <w:sz w:val="22"/>
                <w:vertAlign w:val="superscript"/>
                <w:lang w:val="fr-BE"/>
              </w:rPr>
              <w:t>er</w:t>
            </w:r>
            <w:r>
              <w:rPr>
                <w:rFonts w:ascii="Garamond" w:hAnsi="Garamond"/>
                <w:b/>
                <w:sz w:val="22"/>
                <w:lang w:val="fr-BE"/>
              </w:rPr>
              <w:t xml:space="preserve">. </w:t>
            </w:r>
            <w:r w:rsidRPr="00175401">
              <w:rPr>
                <w:rFonts w:ascii="Garamond" w:hAnsi="Garamond"/>
                <w:sz w:val="22"/>
              </w:rPr>
              <w:tab/>
              <w:t>Pour l'application du présent arrêté on entend par :</w:t>
            </w:r>
          </w:p>
          <w:p w14:paraId="4C9E0FB3" w14:textId="1BD33F23" w:rsidR="00175401" w:rsidRPr="00646D8C" w:rsidRDefault="00175401" w:rsidP="00175401">
            <w:pPr>
              <w:tabs>
                <w:tab w:val="left" w:pos="356"/>
                <w:tab w:val="left" w:pos="567"/>
                <w:tab w:val="left" w:pos="2268"/>
              </w:tabs>
              <w:jc w:val="both"/>
              <w:rPr>
                <w:rFonts w:ascii="Garamond" w:hAnsi="Garamond"/>
                <w:sz w:val="22"/>
                <w:szCs w:val="22"/>
                <w:lang w:val="fr-BE"/>
              </w:rPr>
            </w:pPr>
            <w:r>
              <w:rPr>
                <w:rFonts w:ascii="Garamond" w:hAnsi="Garamond"/>
                <w:sz w:val="22"/>
                <w:szCs w:val="22"/>
                <w:lang w:val="fr-BE"/>
              </w:rPr>
              <w:t>1</w:t>
            </w:r>
            <w:r w:rsidRPr="00646D8C">
              <w:rPr>
                <w:rFonts w:ascii="Garamond" w:hAnsi="Garamond"/>
                <w:sz w:val="22"/>
                <w:szCs w:val="22"/>
                <w:lang w:val="fr-BE"/>
              </w:rPr>
              <w:t xml:space="preserve">° </w:t>
            </w:r>
            <w:r w:rsidRPr="00646D8C">
              <w:rPr>
                <w:rStyle w:val="plist"/>
                <w:rFonts w:ascii="Garamond" w:hAnsi="Garamond" w:cstheme="minorHAnsi"/>
                <w:color w:val="010106"/>
                <w:sz w:val="22"/>
                <w:szCs w:val="22"/>
              </w:rPr>
              <w:t xml:space="preserve">Commission de </w:t>
            </w:r>
            <w:proofErr w:type="spellStart"/>
            <w:r w:rsidRPr="00646D8C">
              <w:rPr>
                <w:rStyle w:val="plist"/>
                <w:rFonts w:ascii="Garamond" w:hAnsi="Garamond" w:cstheme="minorHAnsi"/>
                <w:color w:val="010106"/>
                <w:sz w:val="22"/>
                <w:szCs w:val="22"/>
              </w:rPr>
              <w:t>Nutrivigilance</w:t>
            </w:r>
            <w:proofErr w:type="spellEnd"/>
            <w:r w:rsidRPr="00646D8C">
              <w:rPr>
                <w:rStyle w:val="plist"/>
                <w:rFonts w:ascii="Garamond" w:hAnsi="Garamond" w:cstheme="minorHAnsi"/>
                <w:color w:val="010106"/>
                <w:sz w:val="22"/>
                <w:szCs w:val="22"/>
              </w:rPr>
              <w:t xml:space="preserve"> : la Commission en charge de l’évaluation des effets indésirables liés à l’utilisation des denrées alimentaires, visée à l'article 22quater de la loi du 24 janvier 1977 relative à la protection de la santé des consommateurs en ce qui concerne les denrées alimentaires et les autres produits ;</w:t>
            </w:r>
            <w:r w:rsidRPr="00646D8C">
              <w:rPr>
                <w:rFonts w:ascii="Garamond" w:hAnsi="Garamond"/>
                <w:sz w:val="22"/>
                <w:szCs w:val="22"/>
                <w:lang w:val="fr-BE"/>
              </w:rPr>
              <w:t xml:space="preserve"> </w:t>
            </w:r>
          </w:p>
          <w:p w14:paraId="1B4CD03B" w14:textId="6DD29D35" w:rsidR="00175401" w:rsidRPr="00C35E6B" w:rsidRDefault="00175401" w:rsidP="00175401">
            <w:pPr>
              <w:tabs>
                <w:tab w:val="left" w:pos="567"/>
                <w:tab w:val="left" w:pos="2268"/>
              </w:tabs>
              <w:jc w:val="both"/>
              <w:rPr>
                <w:rFonts w:ascii="Garamond" w:hAnsi="Garamond"/>
                <w:sz w:val="22"/>
                <w:lang w:val="fr-BE"/>
              </w:rPr>
            </w:pPr>
            <w:r>
              <w:rPr>
                <w:rFonts w:ascii="Garamond" w:hAnsi="Garamond"/>
                <w:sz w:val="22"/>
                <w:lang w:val="fr-BE"/>
              </w:rPr>
              <w:t>2</w:t>
            </w:r>
            <w:r w:rsidRPr="00C35E6B">
              <w:rPr>
                <w:rFonts w:ascii="Garamond" w:hAnsi="Garamond"/>
                <w:sz w:val="22"/>
                <w:lang w:val="fr-BE"/>
              </w:rPr>
              <w:t>° Service : la Direction générale Animaux, Végétaux et Alimentation du Service public fédéral Santé publique, Sécurité de la Chaîne alimentaire et Environnement</w:t>
            </w:r>
            <w:r>
              <w:rPr>
                <w:rFonts w:ascii="Garamond" w:hAnsi="Garamond"/>
                <w:sz w:val="22"/>
                <w:lang w:val="fr-BE"/>
              </w:rPr>
              <w:t>.</w:t>
            </w:r>
          </w:p>
        </w:tc>
        <w:tc>
          <w:tcPr>
            <w:tcW w:w="324" w:type="dxa"/>
            <w:tcBorders>
              <w:top w:val="nil"/>
              <w:left w:val="nil"/>
              <w:bottom w:val="nil"/>
              <w:right w:val="nil"/>
            </w:tcBorders>
          </w:tcPr>
          <w:p w14:paraId="6CDD3AAD" w14:textId="77777777" w:rsidR="00175401" w:rsidRPr="00C35E6B" w:rsidRDefault="00175401" w:rsidP="00175401">
            <w:pPr>
              <w:tabs>
                <w:tab w:val="left" w:pos="567"/>
                <w:tab w:val="left" w:pos="2410"/>
              </w:tabs>
              <w:jc w:val="both"/>
              <w:rPr>
                <w:rFonts w:ascii="Garamond" w:hAnsi="Garamond"/>
                <w:sz w:val="22"/>
                <w:lang w:val="fr-BE"/>
              </w:rPr>
            </w:pPr>
          </w:p>
        </w:tc>
        <w:tc>
          <w:tcPr>
            <w:tcW w:w="4463" w:type="dxa"/>
            <w:tcBorders>
              <w:top w:val="nil"/>
              <w:left w:val="nil"/>
              <w:bottom w:val="nil"/>
              <w:right w:val="nil"/>
            </w:tcBorders>
          </w:tcPr>
          <w:p w14:paraId="732E101A" w14:textId="006E3E4A" w:rsidR="00175401" w:rsidRPr="004422E2" w:rsidRDefault="00175401" w:rsidP="00175401">
            <w:pPr>
              <w:tabs>
                <w:tab w:val="left" w:pos="355"/>
                <w:tab w:val="left" w:pos="2410"/>
              </w:tabs>
              <w:jc w:val="both"/>
              <w:rPr>
                <w:rFonts w:ascii="Garamond" w:hAnsi="Garamond"/>
                <w:sz w:val="22"/>
                <w:lang w:val="nl-NL"/>
              </w:rPr>
            </w:pPr>
            <w:r w:rsidRPr="004422E2">
              <w:rPr>
                <w:rFonts w:ascii="Garamond" w:hAnsi="Garamond"/>
                <w:b/>
                <w:sz w:val="22"/>
                <w:lang w:val="nl-NL"/>
              </w:rPr>
              <w:t>Art</w:t>
            </w:r>
            <w:r>
              <w:rPr>
                <w:rFonts w:ascii="Garamond" w:hAnsi="Garamond"/>
                <w:b/>
                <w:sz w:val="22"/>
                <w:lang w:val="nl-NL"/>
              </w:rPr>
              <w:t>ikel 1</w:t>
            </w:r>
            <w:r w:rsidRPr="004422E2">
              <w:rPr>
                <w:rFonts w:ascii="Garamond" w:hAnsi="Garamond"/>
                <w:b/>
                <w:sz w:val="22"/>
                <w:lang w:val="nl-NL"/>
              </w:rPr>
              <w:t xml:space="preserve">. </w:t>
            </w:r>
            <w:r w:rsidRPr="004422E2">
              <w:rPr>
                <w:rFonts w:ascii="Garamond" w:hAnsi="Garamond"/>
                <w:sz w:val="22"/>
                <w:lang w:val="nl-NL"/>
              </w:rPr>
              <w:t>Voor de toepassing van dit besluit wordt verstaan onder:</w:t>
            </w:r>
          </w:p>
          <w:p w14:paraId="4EA5F5A6" w14:textId="3E8925E2" w:rsidR="00175401" w:rsidRPr="00502F8E" w:rsidRDefault="00175401" w:rsidP="00175401">
            <w:pPr>
              <w:tabs>
                <w:tab w:val="left" w:pos="355"/>
                <w:tab w:val="left" w:pos="2410"/>
              </w:tabs>
              <w:jc w:val="both"/>
              <w:rPr>
                <w:rFonts w:ascii="Garamond" w:hAnsi="Garamond"/>
                <w:sz w:val="22"/>
                <w:lang w:val="nl-BE"/>
              </w:rPr>
            </w:pPr>
            <w:r w:rsidRPr="004422E2">
              <w:rPr>
                <w:rFonts w:ascii="Garamond" w:hAnsi="Garamond"/>
                <w:sz w:val="22"/>
                <w:lang w:val="nl-NL"/>
              </w:rPr>
              <w:t xml:space="preserve">1° </w:t>
            </w:r>
            <w:r w:rsidRPr="00502F8E">
              <w:rPr>
                <w:rStyle w:val="plist"/>
                <w:rFonts w:ascii="Garamond" w:hAnsi="Garamond" w:cstheme="minorHAnsi"/>
                <w:color w:val="010106"/>
                <w:sz w:val="22"/>
                <w:szCs w:val="22"/>
                <w:lang w:val="nl-BE"/>
              </w:rPr>
              <w:t>Commissi</w:t>
            </w:r>
            <w:r>
              <w:rPr>
                <w:rStyle w:val="plist"/>
                <w:rFonts w:ascii="Garamond" w:hAnsi="Garamond" w:cstheme="minorHAnsi"/>
                <w:color w:val="010106"/>
                <w:sz w:val="22"/>
                <w:szCs w:val="22"/>
                <w:lang w:val="nl-BE"/>
              </w:rPr>
              <w:t>e</w:t>
            </w:r>
            <w:r w:rsidRPr="00502F8E">
              <w:rPr>
                <w:rStyle w:val="plist"/>
                <w:rFonts w:ascii="Garamond" w:hAnsi="Garamond" w:cstheme="minorHAnsi"/>
                <w:color w:val="010106"/>
                <w:sz w:val="22"/>
                <w:szCs w:val="22"/>
                <w:lang w:val="nl-BE"/>
              </w:rPr>
              <w:t xml:space="preserve"> </w:t>
            </w:r>
            <w:r>
              <w:rPr>
                <w:rStyle w:val="plist"/>
                <w:rFonts w:ascii="Garamond" w:hAnsi="Garamond" w:cstheme="minorHAnsi"/>
                <w:color w:val="010106"/>
                <w:sz w:val="22"/>
                <w:szCs w:val="22"/>
                <w:lang w:val="nl-BE"/>
              </w:rPr>
              <w:t>van</w:t>
            </w:r>
            <w:r w:rsidRPr="00502F8E">
              <w:rPr>
                <w:rStyle w:val="plist"/>
                <w:rFonts w:ascii="Garamond" w:hAnsi="Garamond" w:cstheme="minorHAnsi"/>
                <w:color w:val="010106"/>
                <w:sz w:val="22"/>
                <w:szCs w:val="22"/>
                <w:lang w:val="nl-BE"/>
              </w:rPr>
              <w:t xml:space="preserve"> </w:t>
            </w:r>
            <w:proofErr w:type="spellStart"/>
            <w:r w:rsidRPr="00502F8E">
              <w:rPr>
                <w:rStyle w:val="plist"/>
                <w:rFonts w:ascii="Garamond" w:hAnsi="Garamond" w:cstheme="minorHAnsi"/>
                <w:color w:val="010106"/>
                <w:sz w:val="22"/>
                <w:szCs w:val="22"/>
                <w:lang w:val="nl-BE"/>
              </w:rPr>
              <w:t>Nutrivigilan</w:t>
            </w:r>
            <w:r>
              <w:rPr>
                <w:rStyle w:val="plist"/>
                <w:rFonts w:ascii="Garamond" w:hAnsi="Garamond" w:cstheme="minorHAnsi"/>
                <w:color w:val="010106"/>
                <w:sz w:val="22"/>
                <w:szCs w:val="22"/>
                <w:lang w:val="nl-BE"/>
              </w:rPr>
              <w:t>ti</w:t>
            </w:r>
            <w:r w:rsidRPr="00502F8E">
              <w:rPr>
                <w:rStyle w:val="plist"/>
                <w:rFonts w:ascii="Garamond" w:hAnsi="Garamond" w:cstheme="minorHAnsi"/>
                <w:color w:val="010106"/>
                <w:sz w:val="22"/>
                <w:szCs w:val="22"/>
                <w:lang w:val="nl-BE"/>
              </w:rPr>
              <w:t>e</w:t>
            </w:r>
            <w:proofErr w:type="spellEnd"/>
            <w:r w:rsidRPr="00502F8E">
              <w:rPr>
                <w:rStyle w:val="plist"/>
                <w:rFonts w:ascii="Garamond" w:hAnsi="Garamond" w:cstheme="minorHAnsi"/>
                <w:color w:val="010106"/>
                <w:sz w:val="22"/>
                <w:szCs w:val="22"/>
                <w:lang w:val="nl-BE"/>
              </w:rPr>
              <w:t xml:space="preserve">: de Commissie belast met de evaluatie van de </w:t>
            </w:r>
            <w:r>
              <w:rPr>
                <w:rStyle w:val="plist"/>
                <w:rFonts w:ascii="Garamond" w:hAnsi="Garamond" w:cstheme="minorHAnsi"/>
                <w:color w:val="010106"/>
                <w:sz w:val="22"/>
                <w:szCs w:val="22"/>
                <w:lang w:val="nl-BE"/>
              </w:rPr>
              <w:t>bijwerkingen</w:t>
            </w:r>
            <w:r w:rsidRPr="00502F8E">
              <w:rPr>
                <w:rStyle w:val="plist"/>
                <w:rFonts w:ascii="Garamond" w:hAnsi="Garamond" w:cstheme="minorHAnsi"/>
                <w:color w:val="010106"/>
                <w:sz w:val="22"/>
                <w:szCs w:val="22"/>
                <w:lang w:val="nl-BE"/>
              </w:rPr>
              <w:t xml:space="preserve"> van het gebruik van levensmiddelen, bedoeld in artikel 22quater van de wet van 24 januari 1977 </w:t>
            </w:r>
            <w:r w:rsidR="0004694F" w:rsidRPr="0004694F">
              <w:rPr>
                <w:rStyle w:val="plist"/>
                <w:rFonts w:ascii="Garamond" w:hAnsi="Garamond" w:cstheme="minorHAnsi"/>
                <w:color w:val="010106"/>
                <w:sz w:val="22"/>
                <w:szCs w:val="22"/>
                <w:lang w:val="nl-BE"/>
              </w:rPr>
              <w:t xml:space="preserve">betreffende de bescherming van de gezondheid van de gebruikers op het stuk van de voedingsmiddelen en andere </w:t>
            </w:r>
            <w:proofErr w:type="spellStart"/>
            <w:r w:rsidR="0004694F" w:rsidRPr="0004694F">
              <w:rPr>
                <w:rStyle w:val="plist"/>
                <w:rFonts w:ascii="Garamond" w:hAnsi="Garamond" w:cstheme="minorHAnsi"/>
                <w:color w:val="010106"/>
                <w:sz w:val="22"/>
                <w:szCs w:val="22"/>
                <w:lang w:val="nl-BE"/>
              </w:rPr>
              <w:t>produkten</w:t>
            </w:r>
            <w:proofErr w:type="spellEnd"/>
            <w:r w:rsidRPr="00502F8E">
              <w:rPr>
                <w:rStyle w:val="plist"/>
                <w:rFonts w:ascii="Garamond" w:hAnsi="Garamond" w:cstheme="minorHAnsi"/>
                <w:color w:val="010106"/>
                <w:sz w:val="22"/>
                <w:szCs w:val="22"/>
                <w:lang w:val="nl-BE"/>
              </w:rPr>
              <w:t>;</w:t>
            </w:r>
          </w:p>
          <w:p w14:paraId="7E20F77B" w14:textId="2E7F1DB4" w:rsidR="00175401" w:rsidRPr="00665F3C" w:rsidRDefault="00175401" w:rsidP="00175401">
            <w:pPr>
              <w:tabs>
                <w:tab w:val="left" w:pos="567"/>
                <w:tab w:val="left" w:pos="2410"/>
              </w:tabs>
              <w:jc w:val="both"/>
              <w:rPr>
                <w:rFonts w:ascii="Garamond" w:hAnsi="Garamond"/>
                <w:sz w:val="22"/>
                <w:lang w:val="nl-NL"/>
              </w:rPr>
            </w:pPr>
            <w:r>
              <w:rPr>
                <w:rFonts w:ascii="Garamond" w:hAnsi="Garamond"/>
                <w:sz w:val="22"/>
                <w:lang w:val="nl-NL"/>
              </w:rPr>
              <w:t>2</w:t>
            </w:r>
            <w:r w:rsidRPr="004422E2">
              <w:rPr>
                <w:rFonts w:ascii="Garamond" w:hAnsi="Garamond"/>
                <w:sz w:val="22"/>
                <w:lang w:val="nl-NL"/>
              </w:rPr>
              <w:t>° Dienst: het Directoraat-Generaal Dier, Plant en Voeding van de Federale Overheidsdienst Volksgezondheid, Veiligheid van de Voedselketen en Leefmilieu</w:t>
            </w:r>
            <w:r>
              <w:rPr>
                <w:rFonts w:ascii="Garamond" w:hAnsi="Garamond"/>
                <w:sz w:val="22"/>
                <w:lang w:val="nl-NL"/>
              </w:rPr>
              <w:t>.</w:t>
            </w:r>
          </w:p>
        </w:tc>
      </w:tr>
      <w:tr w:rsidR="00175401" w:rsidRPr="00BA2D73" w14:paraId="45C0532E" w14:textId="77777777" w:rsidTr="0013508B">
        <w:tc>
          <w:tcPr>
            <w:tcW w:w="4496" w:type="dxa"/>
            <w:tcBorders>
              <w:top w:val="nil"/>
              <w:left w:val="nil"/>
              <w:bottom w:val="nil"/>
              <w:right w:val="nil"/>
            </w:tcBorders>
          </w:tcPr>
          <w:p w14:paraId="531FE547" w14:textId="77777777" w:rsidR="00175401" w:rsidRPr="00665F3C" w:rsidRDefault="00175401" w:rsidP="00175401">
            <w:pPr>
              <w:tabs>
                <w:tab w:val="left" w:pos="567"/>
                <w:tab w:val="left" w:pos="2268"/>
              </w:tabs>
              <w:jc w:val="both"/>
              <w:rPr>
                <w:rFonts w:ascii="Garamond" w:hAnsi="Garamond"/>
                <w:sz w:val="22"/>
                <w:lang w:val="nl-NL"/>
              </w:rPr>
            </w:pPr>
          </w:p>
        </w:tc>
        <w:tc>
          <w:tcPr>
            <w:tcW w:w="324" w:type="dxa"/>
            <w:tcBorders>
              <w:top w:val="nil"/>
              <w:left w:val="nil"/>
              <w:bottom w:val="nil"/>
              <w:right w:val="nil"/>
            </w:tcBorders>
          </w:tcPr>
          <w:p w14:paraId="09ABB35B" w14:textId="77777777" w:rsidR="00175401" w:rsidRPr="00665F3C" w:rsidRDefault="00175401" w:rsidP="00175401">
            <w:pPr>
              <w:tabs>
                <w:tab w:val="left" w:pos="567"/>
                <w:tab w:val="left" w:pos="2410"/>
              </w:tabs>
              <w:jc w:val="both"/>
              <w:rPr>
                <w:rFonts w:ascii="Garamond" w:hAnsi="Garamond"/>
                <w:sz w:val="22"/>
                <w:lang w:val="nl-NL"/>
              </w:rPr>
            </w:pPr>
          </w:p>
        </w:tc>
        <w:tc>
          <w:tcPr>
            <w:tcW w:w="4463" w:type="dxa"/>
            <w:tcBorders>
              <w:top w:val="nil"/>
              <w:left w:val="nil"/>
              <w:bottom w:val="nil"/>
              <w:right w:val="nil"/>
            </w:tcBorders>
          </w:tcPr>
          <w:p w14:paraId="1B0C6661" w14:textId="77777777" w:rsidR="00175401" w:rsidRPr="00665F3C" w:rsidRDefault="00175401" w:rsidP="00175401">
            <w:pPr>
              <w:tabs>
                <w:tab w:val="left" w:pos="567"/>
                <w:tab w:val="left" w:pos="2410"/>
              </w:tabs>
              <w:jc w:val="both"/>
              <w:rPr>
                <w:rFonts w:ascii="Garamond" w:hAnsi="Garamond"/>
                <w:sz w:val="22"/>
                <w:lang w:val="nl-NL"/>
              </w:rPr>
            </w:pPr>
          </w:p>
        </w:tc>
      </w:tr>
      <w:tr w:rsidR="00175401" w:rsidRPr="00BA2D73" w14:paraId="3DEAE41B" w14:textId="77777777" w:rsidTr="0013508B">
        <w:tc>
          <w:tcPr>
            <w:tcW w:w="4496" w:type="dxa"/>
            <w:tcBorders>
              <w:top w:val="nil"/>
              <w:left w:val="nil"/>
              <w:bottom w:val="nil"/>
              <w:right w:val="nil"/>
            </w:tcBorders>
          </w:tcPr>
          <w:p w14:paraId="384FB6EB" w14:textId="55B6C045" w:rsidR="00175401" w:rsidRPr="00A3787E" w:rsidRDefault="00175401" w:rsidP="00175401">
            <w:pPr>
              <w:tabs>
                <w:tab w:val="left" w:pos="356"/>
                <w:tab w:val="left" w:pos="567"/>
                <w:tab w:val="left" w:pos="2268"/>
              </w:tabs>
              <w:jc w:val="both"/>
              <w:rPr>
                <w:rFonts w:ascii="Garamond" w:hAnsi="Garamond"/>
                <w:sz w:val="22"/>
                <w:lang w:val="fr-BE"/>
              </w:rPr>
            </w:pPr>
            <w:r w:rsidRPr="00A3787E">
              <w:rPr>
                <w:rFonts w:ascii="Garamond" w:hAnsi="Garamond"/>
                <w:b/>
                <w:sz w:val="22"/>
                <w:lang w:val="fr-BE"/>
              </w:rPr>
              <w:t>Art. 2.</w:t>
            </w:r>
            <w:r w:rsidRPr="00A3787E">
              <w:rPr>
                <w:rFonts w:ascii="Garamond" w:hAnsi="Garamond"/>
                <w:sz w:val="22"/>
                <w:lang w:val="fr-BE"/>
              </w:rPr>
              <w:t xml:space="preserve"> § 1</w:t>
            </w:r>
            <w:r w:rsidRPr="00A3787E">
              <w:rPr>
                <w:rFonts w:ascii="Garamond" w:hAnsi="Garamond"/>
                <w:sz w:val="22"/>
                <w:vertAlign w:val="superscript"/>
                <w:lang w:val="fr-BE"/>
              </w:rPr>
              <w:t>er</w:t>
            </w:r>
            <w:r w:rsidRPr="00A3787E">
              <w:rPr>
                <w:rFonts w:ascii="Garamond" w:hAnsi="Garamond"/>
                <w:sz w:val="22"/>
                <w:lang w:val="fr-BE"/>
              </w:rPr>
              <w:t>. La Commission comprend les membres suivants :</w:t>
            </w:r>
          </w:p>
          <w:p w14:paraId="65291D27" w14:textId="329151E5" w:rsidR="00175401" w:rsidRPr="00A3787E" w:rsidRDefault="00175401" w:rsidP="00175401">
            <w:pPr>
              <w:tabs>
                <w:tab w:val="left" w:pos="356"/>
                <w:tab w:val="left" w:pos="567"/>
                <w:tab w:val="left" w:pos="2268"/>
              </w:tabs>
              <w:jc w:val="both"/>
              <w:rPr>
                <w:rFonts w:ascii="Garamond" w:hAnsi="Garamond"/>
                <w:sz w:val="22"/>
                <w:lang w:val="fr-BE"/>
              </w:rPr>
            </w:pPr>
            <w:r w:rsidRPr="00A3787E">
              <w:rPr>
                <w:rFonts w:ascii="Garamond" w:hAnsi="Garamond"/>
                <w:sz w:val="22"/>
                <w:lang w:val="fr-BE"/>
              </w:rPr>
              <w:t>1° deux représentants du service Denrées alimentaires, Aliments pour animaux et autres Produits de Consommation;</w:t>
            </w:r>
          </w:p>
          <w:p w14:paraId="75503B74" w14:textId="3A09F543" w:rsidR="00175401" w:rsidRDefault="00175401" w:rsidP="00175401">
            <w:pPr>
              <w:tabs>
                <w:tab w:val="left" w:pos="356"/>
                <w:tab w:val="left" w:pos="567"/>
                <w:tab w:val="left" w:pos="2268"/>
              </w:tabs>
              <w:jc w:val="both"/>
              <w:rPr>
                <w:rFonts w:ascii="Garamond" w:hAnsi="Garamond"/>
                <w:sz w:val="22"/>
                <w:lang w:val="fr-BE"/>
              </w:rPr>
            </w:pPr>
            <w:r w:rsidRPr="00A3787E">
              <w:rPr>
                <w:rFonts w:ascii="Garamond" w:hAnsi="Garamond"/>
                <w:sz w:val="22"/>
                <w:lang w:val="fr-BE"/>
              </w:rPr>
              <w:t>2° un représentant de l'Agence fédérale des Médicaments et Produits de santé actif dans la pharm</w:t>
            </w:r>
            <w:r w:rsidR="00FA59B8">
              <w:rPr>
                <w:rFonts w:ascii="Garamond" w:hAnsi="Garamond"/>
                <w:sz w:val="22"/>
                <w:lang w:val="fr-BE"/>
              </w:rPr>
              <w:t>a</w:t>
            </w:r>
            <w:r w:rsidRPr="00A3787E">
              <w:rPr>
                <w:rFonts w:ascii="Garamond" w:hAnsi="Garamond"/>
                <w:sz w:val="22"/>
                <w:lang w:val="fr-BE"/>
              </w:rPr>
              <w:t>covigilance;</w:t>
            </w:r>
          </w:p>
          <w:p w14:paraId="7B17D2EB" w14:textId="77777777" w:rsidR="00A3787E" w:rsidRPr="00A3787E" w:rsidRDefault="00A3787E" w:rsidP="00175401">
            <w:pPr>
              <w:tabs>
                <w:tab w:val="left" w:pos="356"/>
                <w:tab w:val="left" w:pos="567"/>
                <w:tab w:val="left" w:pos="2268"/>
              </w:tabs>
              <w:jc w:val="both"/>
              <w:rPr>
                <w:rFonts w:ascii="Garamond" w:hAnsi="Garamond"/>
                <w:sz w:val="22"/>
                <w:lang w:val="fr-BE"/>
              </w:rPr>
            </w:pPr>
          </w:p>
          <w:p w14:paraId="2205CCA0" w14:textId="77777777" w:rsidR="00175401" w:rsidRPr="00A3787E" w:rsidRDefault="00175401" w:rsidP="00175401">
            <w:pPr>
              <w:tabs>
                <w:tab w:val="left" w:pos="356"/>
                <w:tab w:val="left" w:pos="567"/>
                <w:tab w:val="left" w:pos="2268"/>
              </w:tabs>
              <w:jc w:val="both"/>
              <w:rPr>
                <w:rFonts w:ascii="Garamond" w:hAnsi="Garamond"/>
                <w:sz w:val="22"/>
                <w:lang w:val="fr-BE"/>
              </w:rPr>
            </w:pPr>
            <w:r w:rsidRPr="00A3787E">
              <w:rPr>
                <w:rFonts w:ascii="Garamond" w:hAnsi="Garamond"/>
                <w:sz w:val="22"/>
                <w:lang w:val="fr-BE"/>
              </w:rPr>
              <w:t>3° un représentant de l’Agence fédérale pour la Sécurité de la Chaîne alimentaire – Direction générale Politique de contrôle;</w:t>
            </w:r>
          </w:p>
          <w:p w14:paraId="2BFE221F" w14:textId="77777777" w:rsidR="00EE073A" w:rsidRPr="00A3787E" w:rsidRDefault="00EE073A" w:rsidP="00175401">
            <w:pPr>
              <w:tabs>
                <w:tab w:val="left" w:pos="356"/>
                <w:tab w:val="left" w:pos="567"/>
                <w:tab w:val="left" w:pos="2268"/>
              </w:tabs>
              <w:jc w:val="both"/>
              <w:rPr>
                <w:rFonts w:ascii="Garamond" w:hAnsi="Garamond"/>
                <w:sz w:val="22"/>
                <w:lang w:val="fr-BE"/>
              </w:rPr>
            </w:pPr>
          </w:p>
          <w:p w14:paraId="5387D6CA" w14:textId="61C70B01" w:rsidR="00175401" w:rsidRPr="00A3787E" w:rsidRDefault="00175401" w:rsidP="00175401">
            <w:pPr>
              <w:tabs>
                <w:tab w:val="left" w:pos="356"/>
                <w:tab w:val="left" w:pos="567"/>
                <w:tab w:val="left" w:pos="2268"/>
              </w:tabs>
              <w:jc w:val="both"/>
              <w:rPr>
                <w:rFonts w:ascii="Garamond" w:hAnsi="Garamond"/>
                <w:sz w:val="22"/>
                <w:lang w:val="fr-BE"/>
              </w:rPr>
            </w:pPr>
            <w:r w:rsidRPr="00A3787E">
              <w:rPr>
                <w:rFonts w:ascii="Garamond" w:hAnsi="Garamond"/>
                <w:sz w:val="22"/>
                <w:lang w:val="fr-BE"/>
              </w:rPr>
              <w:t>4° huit représentants de différentes expertises médicales ou spécialistes dans le domaine de la vigilance.</w:t>
            </w:r>
          </w:p>
          <w:p w14:paraId="64EAA441" w14:textId="77777777" w:rsidR="00175401" w:rsidRPr="00A3787E" w:rsidRDefault="00175401" w:rsidP="00175401">
            <w:pPr>
              <w:tabs>
                <w:tab w:val="left" w:pos="356"/>
                <w:tab w:val="left" w:pos="567"/>
                <w:tab w:val="left" w:pos="2268"/>
              </w:tabs>
              <w:jc w:val="both"/>
              <w:rPr>
                <w:rFonts w:ascii="Garamond" w:hAnsi="Garamond"/>
                <w:sz w:val="22"/>
                <w:lang w:val="fr-BE"/>
              </w:rPr>
            </w:pPr>
          </w:p>
          <w:p w14:paraId="482865B8" w14:textId="18AC42D5" w:rsidR="00175401" w:rsidRPr="00A3787E" w:rsidRDefault="00175401" w:rsidP="00175401">
            <w:pPr>
              <w:tabs>
                <w:tab w:val="left" w:pos="356"/>
                <w:tab w:val="left" w:pos="567"/>
                <w:tab w:val="left" w:pos="2268"/>
              </w:tabs>
              <w:jc w:val="both"/>
              <w:rPr>
                <w:rFonts w:ascii="Garamond" w:hAnsi="Garamond"/>
                <w:bCs/>
                <w:sz w:val="22"/>
                <w:lang w:val="fr-BE"/>
              </w:rPr>
            </w:pPr>
            <w:r w:rsidRPr="00A3787E">
              <w:rPr>
                <w:rFonts w:ascii="Garamond" w:hAnsi="Garamond"/>
                <w:sz w:val="22"/>
                <w:lang w:val="fr-BE"/>
              </w:rPr>
              <w:t>§ 2. La Commission peut inviter des experts externes pour les réunions pendant lesquelles sont discutés des sujets relevant de leur expertise.</w:t>
            </w:r>
          </w:p>
        </w:tc>
        <w:tc>
          <w:tcPr>
            <w:tcW w:w="324" w:type="dxa"/>
            <w:tcBorders>
              <w:top w:val="nil"/>
              <w:left w:val="nil"/>
              <w:bottom w:val="nil"/>
              <w:right w:val="nil"/>
            </w:tcBorders>
          </w:tcPr>
          <w:p w14:paraId="50D32CD1" w14:textId="77777777" w:rsidR="00175401" w:rsidRPr="00A3787E" w:rsidRDefault="00175401"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25D385C3" w14:textId="77777777" w:rsidR="00B64663" w:rsidRPr="00A3787E" w:rsidRDefault="00175401" w:rsidP="00B64663">
            <w:pPr>
              <w:tabs>
                <w:tab w:val="left" w:pos="355"/>
                <w:tab w:val="left" w:pos="2410"/>
              </w:tabs>
              <w:jc w:val="both"/>
              <w:rPr>
                <w:rFonts w:ascii="Garamond" w:hAnsi="Garamond"/>
                <w:bCs/>
                <w:sz w:val="22"/>
                <w:lang w:val="nl-NL"/>
              </w:rPr>
            </w:pPr>
            <w:r w:rsidRPr="00A3787E">
              <w:rPr>
                <w:rFonts w:ascii="Garamond" w:hAnsi="Garamond"/>
                <w:b/>
                <w:sz w:val="22"/>
                <w:lang w:val="nl-NL"/>
              </w:rPr>
              <w:t xml:space="preserve">Art. 2. </w:t>
            </w:r>
            <w:r w:rsidR="00B64663" w:rsidRPr="00A3787E">
              <w:rPr>
                <w:rFonts w:ascii="Garamond" w:hAnsi="Garamond"/>
                <w:bCs/>
                <w:sz w:val="22"/>
                <w:lang w:val="nl-NL"/>
              </w:rPr>
              <w:t>§ 1. De Commissie bestaat uit de volgende leden:</w:t>
            </w:r>
          </w:p>
          <w:p w14:paraId="3EBF45C8" w14:textId="7E5195B5" w:rsidR="00B64663" w:rsidRPr="00A3787E" w:rsidRDefault="00B64663" w:rsidP="00B64663">
            <w:pPr>
              <w:tabs>
                <w:tab w:val="left" w:pos="355"/>
                <w:tab w:val="left" w:pos="2410"/>
              </w:tabs>
              <w:jc w:val="both"/>
              <w:rPr>
                <w:rFonts w:ascii="Garamond" w:hAnsi="Garamond"/>
                <w:bCs/>
                <w:sz w:val="22"/>
                <w:lang w:val="nl-NL"/>
              </w:rPr>
            </w:pPr>
            <w:r w:rsidRPr="00A3787E">
              <w:rPr>
                <w:rFonts w:ascii="Garamond" w:hAnsi="Garamond"/>
                <w:bCs/>
                <w:sz w:val="22"/>
                <w:lang w:val="nl-NL"/>
              </w:rPr>
              <w:t xml:space="preserve">1° twee vertegenwoordigers van de Dienst </w:t>
            </w:r>
            <w:r w:rsidR="00857583" w:rsidRPr="00A3787E">
              <w:rPr>
                <w:rFonts w:ascii="Garamond" w:hAnsi="Garamond"/>
                <w:bCs/>
                <w:sz w:val="22"/>
                <w:lang w:val="nl-NL"/>
              </w:rPr>
              <w:t>Voedingsmiddelen</w:t>
            </w:r>
            <w:r w:rsidRPr="00A3787E">
              <w:rPr>
                <w:rFonts w:ascii="Garamond" w:hAnsi="Garamond"/>
                <w:bCs/>
                <w:sz w:val="22"/>
                <w:lang w:val="nl-NL"/>
              </w:rPr>
              <w:t>, Diervoeders en Andere Consumentenproducten</w:t>
            </w:r>
            <w:r w:rsidR="001F0B35" w:rsidRPr="00A3787E">
              <w:rPr>
                <w:rFonts w:ascii="Garamond" w:hAnsi="Garamond"/>
                <w:bCs/>
                <w:sz w:val="22"/>
                <w:lang w:val="nl-NL"/>
              </w:rPr>
              <w:t>;</w:t>
            </w:r>
          </w:p>
          <w:p w14:paraId="4AE4EF7C" w14:textId="77AE795B" w:rsidR="00B64663" w:rsidRPr="00A3787E" w:rsidRDefault="00B64663" w:rsidP="00B64663">
            <w:pPr>
              <w:tabs>
                <w:tab w:val="left" w:pos="355"/>
                <w:tab w:val="left" w:pos="2410"/>
              </w:tabs>
              <w:jc w:val="both"/>
              <w:rPr>
                <w:rFonts w:ascii="Garamond" w:hAnsi="Garamond"/>
                <w:bCs/>
                <w:sz w:val="22"/>
                <w:lang w:val="nl-NL"/>
              </w:rPr>
            </w:pPr>
            <w:r w:rsidRPr="00A3787E">
              <w:rPr>
                <w:rFonts w:ascii="Garamond" w:hAnsi="Garamond"/>
                <w:bCs/>
                <w:sz w:val="22"/>
                <w:lang w:val="nl-NL"/>
              </w:rPr>
              <w:t xml:space="preserve">2° een vertegenwoordiger van het Federaal Agentschap voor Geneesmiddelen en Gezondheidsproducten actief in de </w:t>
            </w:r>
            <w:proofErr w:type="spellStart"/>
            <w:r w:rsidR="001F0B35" w:rsidRPr="00A3787E">
              <w:rPr>
                <w:rFonts w:ascii="Garamond" w:hAnsi="Garamond"/>
                <w:bCs/>
                <w:sz w:val="22"/>
                <w:lang w:val="nl-NL"/>
              </w:rPr>
              <w:t>farmacovigilantie</w:t>
            </w:r>
            <w:proofErr w:type="spellEnd"/>
            <w:r w:rsidR="001F0B35" w:rsidRPr="00A3787E">
              <w:rPr>
                <w:rFonts w:ascii="Garamond" w:hAnsi="Garamond"/>
                <w:bCs/>
                <w:sz w:val="22"/>
                <w:lang w:val="nl-NL"/>
              </w:rPr>
              <w:t>;</w:t>
            </w:r>
          </w:p>
          <w:p w14:paraId="4BC43C1E" w14:textId="7B7294D0" w:rsidR="00B64663" w:rsidRPr="00A3787E" w:rsidRDefault="00B64663" w:rsidP="00B64663">
            <w:pPr>
              <w:tabs>
                <w:tab w:val="left" w:pos="355"/>
                <w:tab w:val="left" w:pos="2410"/>
              </w:tabs>
              <w:jc w:val="both"/>
              <w:rPr>
                <w:rFonts w:ascii="Garamond" w:hAnsi="Garamond"/>
                <w:bCs/>
                <w:sz w:val="22"/>
                <w:lang w:val="nl-NL"/>
              </w:rPr>
            </w:pPr>
            <w:r w:rsidRPr="00A3787E">
              <w:rPr>
                <w:rFonts w:ascii="Garamond" w:hAnsi="Garamond"/>
                <w:bCs/>
                <w:sz w:val="22"/>
                <w:lang w:val="nl-NL"/>
              </w:rPr>
              <w:t>3° een vertegenwoordiger van het Federaal Agentschap voor de Veiligheid van de Voedselketen - Directoraat-generaal Controlebeleid</w:t>
            </w:r>
            <w:r w:rsidR="001F0B35" w:rsidRPr="00A3787E">
              <w:rPr>
                <w:rFonts w:ascii="Garamond" w:hAnsi="Garamond"/>
                <w:bCs/>
                <w:sz w:val="22"/>
                <w:lang w:val="nl-NL"/>
              </w:rPr>
              <w:t>;</w:t>
            </w:r>
          </w:p>
          <w:p w14:paraId="27ED4D70" w14:textId="7768A40D" w:rsidR="00175401" w:rsidRPr="00A3787E" w:rsidRDefault="00B64663" w:rsidP="00B64663">
            <w:pPr>
              <w:tabs>
                <w:tab w:val="left" w:pos="355"/>
                <w:tab w:val="left" w:pos="2410"/>
              </w:tabs>
              <w:jc w:val="both"/>
              <w:rPr>
                <w:rFonts w:ascii="Garamond" w:hAnsi="Garamond"/>
                <w:bCs/>
                <w:sz w:val="22"/>
                <w:lang w:val="nl-NL"/>
              </w:rPr>
            </w:pPr>
            <w:r w:rsidRPr="00A3787E">
              <w:rPr>
                <w:rFonts w:ascii="Garamond" w:hAnsi="Garamond"/>
                <w:bCs/>
                <w:sz w:val="22"/>
                <w:lang w:val="nl-NL"/>
              </w:rPr>
              <w:t>4° acht vertegenwoordigers van verschillende medische expertises of specialisten op het gebied van vigilantie.</w:t>
            </w:r>
          </w:p>
          <w:p w14:paraId="046A7013" w14:textId="025A4B5E" w:rsidR="001F0B35" w:rsidRPr="00A3787E" w:rsidRDefault="001F0B35" w:rsidP="00B64663">
            <w:pPr>
              <w:tabs>
                <w:tab w:val="left" w:pos="355"/>
                <w:tab w:val="left" w:pos="2410"/>
              </w:tabs>
              <w:jc w:val="both"/>
              <w:rPr>
                <w:rFonts w:ascii="Garamond" w:hAnsi="Garamond"/>
                <w:bCs/>
                <w:sz w:val="22"/>
                <w:lang w:val="nl-NL"/>
              </w:rPr>
            </w:pPr>
          </w:p>
          <w:p w14:paraId="1EF1D0FB" w14:textId="7ED10ADB" w:rsidR="00175401" w:rsidRPr="00A3787E" w:rsidRDefault="001F0B35" w:rsidP="001F0B35">
            <w:pPr>
              <w:tabs>
                <w:tab w:val="left" w:pos="355"/>
                <w:tab w:val="left" w:pos="2410"/>
              </w:tabs>
              <w:jc w:val="both"/>
              <w:rPr>
                <w:rFonts w:ascii="Garamond" w:hAnsi="Garamond"/>
                <w:sz w:val="22"/>
                <w:lang w:val="nl-NL"/>
              </w:rPr>
            </w:pPr>
            <w:r w:rsidRPr="00A3787E">
              <w:rPr>
                <w:rFonts w:ascii="Garamond" w:hAnsi="Garamond"/>
                <w:bCs/>
                <w:sz w:val="22"/>
                <w:lang w:val="nl-NL"/>
              </w:rPr>
              <w:t>§ 2. De Commissie kan externe deskundigen uitnodigen voor vergaderingen waarop aangelegenheden worden besproken die tot hun expertise behoren.</w:t>
            </w:r>
          </w:p>
        </w:tc>
      </w:tr>
      <w:tr w:rsidR="00175401" w:rsidRPr="00BA2D73" w14:paraId="0D89254B" w14:textId="77777777" w:rsidTr="0013508B">
        <w:tc>
          <w:tcPr>
            <w:tcW w:w="4496" w:type="dxa"/>
            <w:tcBorders>
              <w:top w:val="nil"/>
              <w:left w:val="nil"/>
              <w:bottom w:val="nil"/>
              <w:right w:val="nil"/>
            </w:tcBorders>
          </w:tcPr>
          <w:p w14:paraId="47293451" w14:textId="77777777" w:rsidR="00175401" w:rsidRPr="00665F3C" w:rsidRDefault="00175401" w:rsidP="00175401">
            <w:pPr>
              <w:tabs>
                <w:tab w:val="left" w:pos="356"/>
                <w:tab w:val="left" w:pos="567"/>
                <w:tab w:val="left" w:pos="2268"/>
              </w:tabs>
              <w:jc w:val="both"/>
              <w:rPr>
                <w:rFonts w:ascii="Garamond" w:hAnsi="Garamond"/>
                <w:sz w:val="22"/>
                <w:lang w:val="nl-NL"/>
              </w:rPr>
            </w:pPr>
          </w:p>
        </w:tc>
        <w:tc>
          <w:tcPr>
            <w:tcW w:w="324" w:type="dxa"/>
            <w:tcBorders>
              <w:top w:val="nil"/>
              <w:left w:val="nil"/>
              <w:bottom w:val="nil"/>
              <w:right w:val="nil"/>
            </w:tcBorders>
          </w:tcPr>
          <w:p w14:paraId="12C8DD39" w14:textId="77777777" w:rsidR="00175401" w:rsidRPr="00665F3C" w:rsidRDefault="00175401" w:rsidP="00175401">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4D09D6FA" w14:textId="345873BB" w:rsidR="00175401" w:rsidRPr="00665F3C" w:rsidRDefault="00175401" w:rsidP="00175401">
            <w:pPr>
              <w:rPr>
                <w:lang w:val="nl-NL"/>
              </w:rPr>
            </w:pPr>
          </w:p>
        </w:tc>
      </w:tr>
      <w:tr w:rsidR="00175401" w:rsidRPr="00BA2D73" w14:paraId="081C1FBB" w14:textId="77777777" w:rsidTr="004A40DF">
        <w:tc>
          <w:tcPr>
            <w:tcW w:w="4496" w:type="dxa"/>
            <w:tcBorders>
              <w:top w:val="nil"/>
              <w:left w:val="nil"/>
              <w:bottom w:val="nil"/>
              <w:right w:val="nil"/>
            </w:tcBorders>
          </w:tcPr>
          <w:p w14:paraId="74E686A5" w14:textId="41CF3972" w:rsidR="00F61D18" w:rsidRPr="00A3787E" w:rsidRDefault="00175401" w:rsidP="00F61D18">
            <w:pPr>
              <w:tabs>
                <w:tab w:val="left" w:pos="356"/>
                <w:tab w:val="left" w:pos="567"/>
                <w:tab w:val="left" w:pos="2268"/>
              </w:tabs>
              <w:jc w:val="both"/>
              <w:rPr>
                <w:rFonts w:ascii="Garamond" w:hAnsi="Garamond"/>
                <w:sz w:val="22"/>
                <w:szCs w:val="22"/>
                <w:lang w:val="fr-BE"/>
              </w:rPr>
            </w:pPr>
            <w:r w:rsidRPr="00A3787E">
              <w:rPr>
                <w:rFonts w:ascii="Garamond" w:hAnsi="Garamond"/>
                <w:b/>
                <w:sz w:val="22"/>
                <w:szCs w:val="22"/>
                <w:lang w:val="fr-BE"/>
              </w:rPr>
              <w:t>Art. 3.</w:t>
            </w:r>
            <w:r w:rsidRPr="00A3787E">
              <w:rPr>
                <w:rFonts w:ascii="Garamond" w:hAnsi="Garamond"/>
                <w:sz w:val="22"/>
                <w:szCs w:val="22"/>
                <w:lang w:val="fr-BE"/>
              </w:rPr>
              <w:t xml:space="preserve"> </w:t>
            </w:r>
            <w:r w:rsidR="00F61D18" w:rsidRPr="00A3787E">
              <w:rPr>
                <w:rFonts w:ascii="Garamond" w:hAnsi="Garamond"/>
                <w:sz w:val="22"/>
                <w:szCs w:val="22"/>
                <w:lang w:val="fr-BE"/>
              </w:rPr>
              <w:t>§ 1</w:t>
            </w:r>
            <w:r w:rsidR="00F61D18" w:rsidRPr="00A3787E">
              <w:rPr>
                <w:rFonts w:ascii="Garamond" w:hAnsi="Garamond"/>
                <w:sz w:val="22"/>
                <w:szCs w:val="22"/>
                <w:vertAlign w:val="superscript"/>
                <w:lang w:val="fr-BE"/>
              </w:rPr>
              <w:t>er</w:t>
            </w:r>
            <w:r w:rsidR="00F61D18" w:rsidRPr="00A3787E">
              <w:rPr>
                <w:rFonts w:ascii="Garamond" w:hAnsi="Garamond"/>
                <w:sz w:val="22"/>
                <w:szCs w:val="22"/>
                <w:lang w:val="fr-BE"/>
              </w:rPr>
              <w:t>. Les membres visés à l'article 2 sont nommés pour une période de cinq ans  renouvelable.</w:t>
            </w:r>
          </w:p>
          <w:p w14:paraId="67D2CABB" w14:textId="77777777" w:rsidR="00F61D18" w:rsidRPr="00A3787E" w:rsidRDefault="00F61D18" w:rsidP="00F61D18">
            <w:pPr>
              <w:tabs>
                <w:tab w:val="left" w:pos="356"/>
                <w:tab w:val="left" w:pos="567"/>
                <w:tab w:val="left" w:pos="2268"/>
              </w:tabs>
              <w:jc w:val="both"/>
              <w:rPr>
                <w:rFonts w:ascii="Garamond" w:hAnsi="Garamond"/>
                <w:sz w:val="22"/>
                <w:szCs w:val="22"/>
                <w:lang w:val="fr-BE"/>
              </w:rPr>
            </w:pPr>
          </w:p>
          <w:p w14:paraId="4AC84E71" w14:textId="1CB86717" w:rsidR="00F61D18" w:rsidRPr="00A3787E" w:rsidRDefault="00F61D18" w:rsidP="00F61D18">
            <w:pPr>
              <w:tabs>
                <w:tab w:val="left" w:pos="356"/>
                <w:tab w:val="left" w:pos="567"/>
                <w:tab w:val="left" w:pos="2268"/>
              </w:tabs>
              <w:jc w:val="both"/>
              <w:rPr>
                <w:rFonts w:ascii="Garamond" w:hAnsi="Garamond"/>
                <w:sz w:val="22"/>
                <w:szCs w:val="22"/>
                <w:lang w:val="fr-BE"/>
              </w:rPr>
            </w:pPr>
            <w:r w:rsidRPr="00A3787E">
              <w:rPr>
                <w:rFonts w:ascii="Garamond" w:hAnsi="Garamond"/>
                <w:sz w:val="22"/>
                <w:szCs w:val="22"/>
                <w:lang w:val="fr-BE"/>
              </w:rPr>
              <w:t xml:space="preserve">§ 2. En cas de vacance survenue en cours de mandat, il est désigné un nouveau membre qui remplit les mêmes conditions que son prédécesseur et qui achève le mandat de ce dernier. </w:t>
            </w:r>
          </w:p>
          <w:p w14:paraId="69579A32" w14:textId="77777777" w:rsidR="00F61D18" w:rsidRPr="00A3787E" w:rsidRDefault="00F61D18" w:rsidP="00F61D18">
            <w:pPr>
              <w:tabs>
                <w:tab w:val="left" w:pos="356"/>
                <w:tab w:val="left" w:pos="567"/>
                <w:tab w:val="left" w:pos="2268"/>
              </w:tabs>
              <w:jc w:val="both"/>
              <w:rPr>
                <w:rFonts w:ascii="Garamond" w:hAnsi="Garamond"/>
                <w:sz w:val="22"/>
                <w:szCs w:val="22"/>
                <w:lang w:val="fr-BE"/>
              </w:rPr>
            </w:pPr>
          </w:p>
          <w:p w14:paraId="49D99295" w14:textId="5FF1F0C3" w:rsidR="00175401" w:rsidRPr="00A3787E" w:rsidRDefault="00F61D18" w:rsidP="00F61D18">
            <w:pPr>
              <w:tabs>
                <w:tab w:val="left" w:pos="356"/>
                <w:tab w:val="left" w:pos="567"/>
                <w:tab w:val="left" w:pos="2268"/>
              </w:tabs>
              <w:jc w:val="both"/>
              <w:rPr>
                <w:rFonts w:ascii="Garamond" w:hAnsi="Garamond"/>
                <w:sz w:val="22"/>
                <w:szCs w:val="22"/>
                <w:lang w:val="fr-BE"/>
              </w:rPr>
            </w:pPr>
            <w:r w:rsidRPr="00A3787E">
              <w:rPr>
                <w:rFonts w:ascii="Garamond" w:hAnsi="Garamond"/>
                <w:sz w:val="22"/>
                <w:szCs w:val="22"/>
                <w:lang w:val="fr-BE"/>
              </w:rPr>
              <w:lastRenderedPageBreak/>
              <w:t xml:space="preserve">§ 3. Sont considérés comme démissionnaires, les membres qui ne se soumettent pas aux dispositions du règlement d'ordre intérieur visé à l’article </w:t>
            </w:r>
            <w:r w:rsidR="00044F57" w:rsidRPr="00A3787E">
              <w:rPr>
                <w:rFonts w:ascii="Garamond" w:hAnsi="Garamond"/>
                <w:sz w:val="22"/>
                <w:szCs w:val="22"/>
                <w:lang w:val="fr-BE"/>
              </w:rPr>
              <w:t>9</w:t>
            </w:r>
            <w:r w:rsidRPr="00A3787E">
              <w:rPr>
                <w:rFonts w:ascii="Garamond" w:hAnsi="Garamond"/>
                <w:sz w:val="22"/>
                <w:szCs w:val="22"/>
                <w:lang w:val="fr-BE"/>
              </w:rPr>
              <w:t>.</w:t>
            </w:r>
          </w:p>
        </w:tc>
        <w:tc>
          <w:tcPr>
            <w:tcW w:w="324" w:type="dxa"/>
            <w:tcBorders>
              <w:top w:val="nil"/>
              <w:left w:val="nil"/>
              <w:bottom w:val="nil"/>
              <w:right w:val="nil"/>
            </w:tcBorders>
          </w:tcPr>
          <w:p w14:paraId="3AD93978" w14:textId="77777777" w:rsidR="00175401" w:rsidRPr="00A3787E" w:rsidRDefault="00175401" w:rsidP="00175401">
            <w:pPr>
              <w:tabs>
                <w:tab w:val="left" w:pos="2410"/>
              </w:tabs>
              <w:jc w:val="both"/>
              <w:rPr>
                <w:rFonts w:ascii="Garamond" w:hAnsi="Garamond"/>
                <w:sz w:val="22"/>
                <w:szCs w:val="22"/>
                <w:u w:val="single"/>
                <w:lang w:val="fr-BE"/>
              </w:rPr>
            </w:pPr>
          </w:p>
        </w:tc>
        <w:tc>
          <w:tcPr>
            <w:tcW w:w="4463" w:type="dxa"/>
            <w:tcBorders>
              <w:top w:val="nil"/>
              <w:left w:val="nil"/>
              <w:bottom w:val="nil"/>
              <w:right w:val="nil"/>
            </w:tcBorders>
          </w:tcPr>
          <w:p w14:paraId="08171A0C" w14:textId="6A49D61A" w:rsidR="009A0342" w:rsidRPr="00A3787E" w:rsidRDefault="00175401" w:rsidP="009A0342">
            <w:pPr>
              <w:autoSpaceDE w:val="0"/>
              <w:autoSpaceDN w:val="0"/>
              <w:adjustRightInd w:val="0"/>
              <w:jc w:val="both"/>
              <w:rPr>
                <w:rFonts w:ascii="Garamond" w:hAnsi="Garamond"/>
                <w:sz w:val="22"/>
                <w:szCs w:val="22"/>
                <w:lang w:val="nl-NL"/>
              </w:rPr>
            </w:pPr>
            <w:r w:rsidRPr="00A3787E">
              <w:rPr>
                <w:rFonts w:ascii="Garamond" w:hAnsi="Garamond"/>
                <w:b/>
                <w:sz w:val="22"/>
                <w:szCs w:val="22"/>
                <w:lang w:val="nl-NL"/>
              </w:rPr>
              <w:t>Art. 3</w:t>
            </w:r>
            <w:r w:rsidRPr="00A3787E">
              <w:rPr>
                <w:rFonts w:ascii="Garamond" w:hAnsi="Garamond"/>
                <w:sz w:val="22"/>
                <w:szCs w:val="22"/>
                <w:lang w:val="nl-NL"/>
              </w:rPr>
              <w:t>. §</w:t>
            </w:r>
            <w:r w:rsidR="00EE073A" w:rsidRPr="00A3787E">
              <w:rPr>
                <w:rFonts w:ascii="Garamond" w:hAnsi="Garamond"/>
                <w:sz w:val="22"/>
                <w:szCs w:val="22"/>
                <w:lang w:val="nl-NL"/>
              </w:rPr>
              <w:t xml:space="preserve"> </w:t>
            </w:r>
            <w:r w:rsidRPr="00A3787E">
              <w:rPr>
                <w:rFonts w:ascii="Garamond" w:hAnsi="Garamond"/>
                <w:sz w:val="22"/>
                <w:szCs w:val="22"/>
                <w:lang w:val="nl-NL"/>
              </w:rPr>
              <w:t>1.</w:t>
            </w:r>
            <w:r w:rsidR="009A0342" w:rsidRPr="00A3787E">
              <w:rPr>
                <w:rFonts w:ascii="Garamond" w:hAnsi="Garamond"/>
                <w:sz w:val="22"/>
                <w:szCs w:val="22"/>
                <w:lang w:val="nl-NL"/>
              </w:rPr>
              <w:t xml:space="preserve"> De in artikel 2 bedoelde leden worden benoemd voor een hernieuwbare periode van vijf jaar.</w:t>
            </w:r>
          </w:p>
          <w:p w14:paraId="794F0337" w14:textId="77777777" w:rsidR="009A0342" w:rsidRPr="00A3787E" w:rsidRDefault="009A0342" w:rsidP="009A0342">
            <w:pPr>
              <w:autoSpaceDE w:val="0"/>
              <w:autoSpaceDN w:val="0"/>
              <w:adjustRightInd w:val="0"/>
              <w:jc w:val="both"/>
              <w:rPr>
                <w:rFonts w:ascii="Garamond" w:hAnsi="Garamond"/>
                <w:sz w:val="22"/>
                <w:szCs w:val="22"/>
                <w:lang w:val="nl-NL"/>
              </w:rPr>
            </w:pPr>
          </w:p>
          <w:p w14:paraId="673B5269" w14:textId="4F6FC34C" w:rsidR="009A0342" w:rsidRPr="00A3787E" w:rsidRDefault="009A0342" w:rsidP="009A0342">
            <w:pPr>
              <w:autoSpaceDE w:val="0"/>
              <w:autoSpaceDN w:val="0"/>
              <w:adjustRightInd w:val="0"/>
              <w:jc w:val="both"/>
              <w:rPr>
                <w:rFonts w:ascii="Garamond" w:hAnsi="Garamond"/>
                <w:sz w:val="22"/>
                <w:szCs w:val="22"/>
                <w:lang w:val="nl-NL"/>
              </w:rPr>
            </w:pPr>
            <w:r w:rsidRPr="00A3787E">
              <w:rPr>
                <w:rFonts w:ascii="Garamond" w:hAnsi="Garamond"/>
                <w:sz w:val="22"/>
                <w:szCs w:val="22"/>
                <w:lang w:val="nl-NL"/>
              </w:rPr>
              <w:t>§ 2</w:t>
            </w:r>
            <w:r w:rsidR="00EE073A" w:rsidRPr="00A3787E">
              <w:rPr>
                <w:rFonts w:ascii="Garamond" w:hAnsi="Garamond"/>
                <w:sz w:val="22"/>
                <w:szCs w:val="22"/>
                <w:lang w:val="nl-NL"/>
              </w:rPr>
              <w:t>.</w:t>
            </w:r>
            <w:r w:rsidRPr="00A3787E">
              <w:rPr>
                <w:rFonts w:ascii="Garamond" w:hAnsi="Garamond"/>
                <w:sz w:val="22"/>
                <w:szCs w:val="22"/>
                <w:lang w:val="nl-NL"/>
              </w:rPr>
              <w:t xml:space="preserve"> In geval van een vacature tijdens het mandaat wordt een nieuw lid benoemd dat aan dezelfde voorwaarden voldoet als zijn voorganger en dat het mandaat van zijn voorganger voltooit. </w:t>
            </w:r>
          </w:p>
          <w:p w14:paraId="69D562AE" w14:textId="77777777" w:rsidR="009A0342" w:rsidRPr="00A3787E" w:rsidRDefault="009A0342" w:rsidP="009A0342">
            <w:pPr>
              <w:autoSpaceDE w:val="0"/>
              <w:autoSpaceDN w:val="0"/>
              <w:adjustRightInd w:val="0"/>
              <w:jc w:val="both"/>
              <w:rPr>
                <w:rFonts w:ascii="Garamond" w:hAnsi="Garamond"/>
                <w:sz w:val="22"/>
                <w:szCs w:val="22"/>
                <w:lang w:val="nl-NL"/>
              </w:rPr>
            </w:pPr>
          </w:p>
          <w:p w14:paraId="50C09B8C" w14:textId="0DA411C1" w:rsidR="00175401" w:rsidRPr="00A3787E" w:rsidRDefault="009A0342" w:rsidP="009A0342">
            <w:pPr>
              <w:autoSpaceDE w:val="0"/>
              <w:autoSpaceDN w:val="0"/>
              <w:adjustRightInd w:val="0"/>
              <w:jc w:val="both"/>
              <w:rPr>
                <w:rFonts w:ascii="Garamond" w:hAnsi="Garamond"/>
                <w:sz w:val="22"/>
                <w:szCs w:val="22"/>
                <w:lang w:val="nl-NL"/>
              </w:rPr>
            </w:pPr>
            <w:r w:rsidRPr="00A3787E">
              <w:rPr>
                <w:rFonts w:ascii="Garamond" w:hAnsi="Garamond"/>
                <w:sz w:val="22"/>
                <w:szCs w:val="22"/>
                <w:lang w:val="nl-NL"/>
              </w:rPr>
              <w:lastRenderedPageBreak/>
              <w:t>§ 3</w:t>
            </w:r>
            <w:r w:rsidR="00EE073A" w:rsidRPr="00A3787E">
              <w:rPr>
                <w:rFonts w:ascii="Garamond" w:hAnsi="Garamond"/>
                <w:sz w:val="22"/>
                <w:szCs w:val="22"/>
                <w:lang w:val="nl-NL"/>
              </w:rPr>
              <w:t>.</w:t>
            </w:r>
            <w:r w:rsidRPr="00A3787E">
              <w:rPr>
                <w:rFonts w:ascii="Garamond" w:hAnsi="Garamond"/>
                <w:sz w:val="22"/>
                <w:szCs w:val="22"/>
                <w:lang w:val="nl-NL"/>
              </w:rPr>
              <w:t xml:space="preserve"> Leden die de bepalingen van het in artikel 9 bedoelde huishoudelijk reglement niet naleven, worden geacht ontslag te hebben genomen.</w:t>
            </w:r>
          </w:p>
        </w:tc>
      </w:tr>
      <w:tr w:rsidR="00175401" w:rsidRPr="00BA2D73" w14:paraId="3897C3ED" w14:textId="77777777" w:rsidTr="004A40DF">
        <w:tc>
          <w:tcPr>
            <w:tcW w:w="4496" w:type="dxa"/>
            <w:tcBorders>
              <w:top w:val="nil"/>
              <w:left w:val="nil"/>
              <w:bottom w:val="nil"/>
              <w:right w:val="nil"/>
            </w:tcBorders>
          </w:tcPr>
          <w:p w14:paraId="38ACFB85" w14:textId="77777777" w:rsidR="00175401" w:rsidRPr="00A3787E" w:rsidRDefault="00175401" w:rsidP="00175401">
            <w:pPr>
              <w:tabs>
                <w:tab w:val="left" w:pos="356"/>
                <w:tab w:val="left" w:pos="567"/>
                <w:tab w:val="left" w:pos="2268"/>
              </w:tabs>
              <w:jc w:val="both"/>
              <w:rPr>
                <w:rFonts w:ascii="Garamond" w:hAnsi="Garamond"/>
                <w:b/>
                <w:sz w:val="22"/>
                <w:szCs w:val="22"/>
                <w:lang w:val="nl-NL"/>
              </w:rPr>
            </w:pPr>
          </w:p>
        </w:tc>
        <w:tc>
          <w:tcPr>
            <w:tcW w:w="324" w:type="dxa"/>
            <w:tcBorders>
              <w:top w:val="nil"/>
              <w:left w:val="nil"/>
              <w:bottom w:val="nil"/>
              <w:right w:val="nil"/>
            </w:tcBorders>
          </w:tcPr>
          <w:p w14:paraId="5F39E386" w14:textId="77777777" w:rsidR="00175401" w:rsidRPr="00A3787E" w:rsidRDefault="00175401" w:rsidP="00175401">
            <w:pPr>
              <w:tabs>
                <w:tab w:val="left" w:pos="2410"/>
              </w:tabs>
              <w:jc w:val="both"/>
              <w:rPr>
                <w:rFonts w:ascii="Garamond" w:hAnsi="Garamond"/>
                <w:sz w:val="22"/>
                <w:szCs w:val="22"/>
                <w:u w:val="single"/>
                <w:lang w:val="nl-NL"/>
              </w:rPr>
            </w:pPr>
          </w:p>
        </w:tc>
        <w:tc>
          <w:tcPr>
            <w:tcW w:w="4463" w:type="dxa"/>
            <w:tcBorders>
              <w:top w:val="nil"/>
              <w:left w:val="nil"/>
              <w:bottom w:val="nil"/>
              <w:right w:val="nil"/>
            </w:tcBorders>
          </w:tcPr>
          <w:p w14:paraId="4ADA6D16" w14:textId="77777777" w:rsidR="00175401" w:rsidRPr="00A3787E" w:rsidRDefault="00175401" w:rsidP="00175401">
            <w:pPr>
              <w:autoSpaceDE w:val="0"/>
              <w:autoSpaceDN w:val="0"/>
              <w:adjustRightInd w:val="0"/>
              <w:jc w:val="both"/>
              <w:rPr>
                <w:rFonts w:ascii="Garamond" w:hAnsi="Garamond"/>
                <w:b/>
                <w:sz w:val="22"/>
                <w:szCs w:val="22"/>
                <w:lang w:val="nl-NL"/>
              </w:rPr>
            </w:pPr>
          </w:p>
        </w:tc>
      </w:tr>
      <w:tr w:rsidR="00175401" w:rsidRPr="00BA2D73" w14:paraId="0C6F58E5" w14:textId="77777777" w:rsidTr="0013508B">
        <w:tc>
          <w:tcPr>
            <w:tcW w:w="4496" w:type="dxa"/>
            <w:tcBorders>
              <w:top w:val="nil"/>
              <w:left w:val="nil"/>
              <w:bottom w:val="nil"/>
              <w:right w:val="nil"/>
            </w:tcBorders>
          </w:tcPr>
          <w:p w14:paraId="6FB76AED" w14:textId="4C6EBE7A" w:rsidR="00175401" w:rsidRPr="00A3787E" w:rsidRDefault="00175401" w:rsidP="00F61D18">
            <w:pPr>
              <w:tabs>
                <w:tab w:val="left" w:pos="356"/>
                <w:tab w:val="left" w:pos="567"/>
                <w:tab w:val="left" w:pos="2268"/>
              </w:tabs>
              <w:jc w:val="both"/>
              <w:rPr>
                <w:rFonts w:ascii="Garamond" w:hAnsi="Garamond"/>
                <w:sz w:val="22"/>
                <w:szCs w:val="22"/>
                <w:lang w:val="fr-BE"/>
              </w:rPr>
            </w:pPr>
            <w:r w:rsidRPr="00A3787E">
              <w:rPr>
                <w:rFonts w:ascii="Garamond" w:hAnsi="Garamond"/>
                <w:b/>
                <w:bCs/>
                <w:sz w:val="22"/>
                <w:szCs w:val="22"/>
                <w:lang w:val="fr-BE"/>
              </w:rPr>
              <w:t xml:space="preserve">Art. 4. </w:t>
            </w:r>
            <w:r w:rsidR="00A3787E" w:rsidRPr="00A3787E">
              <w:rPr>
                <w:rFonts w:ascii="Garamond" w:hAnsi="Garamond"/>
                <w:sz w:val="22"/>
                <w:szCs w:val="22"/>
                <w:lang w:val="fr-BE"/>
              </w:rPr>
              <w:t>Le Ministre de la Santé publique nomme des membres de la Commission et leur suppléants</w:t>
            </w:r>
          </w:p>
        </w:tc>
        <w:tc>
          <w:tcPr>
            <w:tcW w:w="324" w:type="dxa"/>
            <w:tcBorders>
              <w:top w:val="nil"/>
              <w:left w:val="nil"/>
              <w:bottom w:val="nil"/>
              <w:right w:val="nil"/>
            </w:tcBorders>
          </w:tcPr>
          <w:p w14:paraId="6A8DFF67" w14:textId="77777777" w:rsidR="00175401" w:rsidRPr="00A3787E" w:rsidRDefault="00175401" w:rsidP="00175401">
            <w:pPr>
              <w:tabs>
                <w:tab w:val="left" w:pos="2410"/>
              </w:tabs>
              <w:jc w:val="both"/>
              <w:rPr>
                <w:rFonts w:ascii="Garamond" w:hAnsi="Garamond"/>
                <w:sz w:val="22"/>
                <w:szCs w:val="22"/>
                <w:u w:val="single"/>
                <w:lang w:val="fr-BE"/>
              </w:rPr>
            </w:pPr>
          </w:p>
        </w:tc>
        <w:tc>
          <w:tcPr>
            <w:tcW w:w="4463" w:type="dxa"/>
            <w:tcBorders>
              <w:top w:val="nil"/>
              <w:left w:val="nil"/>
              <w:bottom w:val="nil"/>
              <w:right w:val="nil"/>
            </w:tcBorders>
          </w:tcPr>
          <w:p w14:paraId="6C301A56" w14:textId="50ACDECF" w:rsidR="00175401" w:rsidRPr="00A3787E" w:rsidRDefault="00175401" w:rsidP="00F61D18">
            <w:pPr>
              <w:autoSpaceDE w:val="0"/>
              <w:autoSpaceDN w:val="0"/>
              <w:adjustRightInd w:val="0"/>
              <w:jc w:val="both"/>
              <w:rPr>
                <w:rFonts w:ascii="Garamond" w:hAnsi="Garamond"/>
                <w:bCs/>
                <w:sz w:val="22"/>
                <w:szCs w:val="22"/>
                <w:lang w:val="nl-NL"/>
              </w:rPr>
            </w:pPr>
            <w:r w:rsidRPr="00A3787E">
              <w:rPr>
                <w:rFonts w:ascii="Garamond" w:hAnsi="Garamond"/>
                <w:b/>
                <w:bCs/>
                <w:sz w:val="22"/>
                <w:szCs w:val="22"/>
                <w:lang w:val="nl-NL"/>
              </w:rPr>
              <w:t xml:space="preserve">Art. 4. </w:t>
            </w:r>
            <w:r w:rsidR="00A3787E" w:rsidRPr="00A3787E">
              <w:rPr>
                <w:rFonts w:ascii="Garamond" w:hAnsi="Garamond"/>
                <w:sz w:val="22"/>
                <w:szCs w:val="22"/>
                <w:lang w:val="nl-BE"/>
              </w:rPr>
              <w:t>De minister van Volksgezondheid benoemt de leden van de Commissie en hun plaatsvervangers.</w:t>
            </w:r>
          </w:p>
        </w:tc>
      </w:tr>
      <w:tr w:rsidR="00175401" w:rsidRPr="00BA2D73" w14:paraId="7A720742" w14:textId="77777777" w:rsidTr="0013508B">
        <w:tc>
          <w:tcPr>
            <w:tcW w:w="4496" w:type="dxa"/>
            <w:tcBorders>
              <w:top w:val="nil"/>
              <w:left w:val="nil"/>
              <w:bottom w:val="nil"/>
              <w:right w:val="nil"/>
            </w:tcBorders>
          </w:tcPr>
          <w:p w14:paraId="759C61B6" w14:textId="7FD98EC0" w:rsidR="00175401" w:rsidRPr="00A3787E" w:rsidRDefault="00175401" w:rsidP="00175401">
            <w:pPr>
              <w:tabs>
                <w:tab w:val="left" w:pos="567"/>
                <w:tab w:val="left" w:pos="2268"/>
              </w:tabs>
              <w:jc w:val="both"/>
              <w:rPr>
                <w:rFonts w:ascii="Garamond" w:hAnsi="Garamond"/>
                <w:b/>
                <w:sz w:val="22"/>
                <w:szCs w:val="22"/>
                <w:lang w:val="nl-NL"/>
              </w:rPr>
            </w:pPr>
          </w:p>
        </w:tc>
        <w:tc>
          <w:tcPr>
            <w:tcW w:w="324" w:type="dxa"/>
            <w:tcBorders>
              <w:top w:val="nil"/>
              <w:left w:val="nil"/>
              <w:bottom w:val="nil"/>
              <w:right w:val="nil"/>
            </w:tcBorders>
          </w:tcPr>
          <w:p w14:paraId="0B5D70D1" w14:textId="77777777" w:rsidR="00175401" w:rsidRPr="00A3787E" w:rsidRDefault="00175401" w:rsidP="00175401">
            <w:pPr>
              <w:tabs>
                <w:tab w:val="left" w:pos="2410"/>
              </w:tabs>
              <w:jc w:val="both"/>
              <w:rPr>
                <w:rFonts w:ascii="Garamond" w:hAnsi="Garamond"/>
                <w:sz w:val="22"/>
                <w:szCs w:val="22"/>
                <w:u w:val="single"/>
                <w:lang w:val="nl-NL"/>
              </w:rPr>
            </w:pPr>
          </w:p>
        </w:tc>
        <w:tc>
          <w:tcPr>
            <w:tcW w:w="4463" w:type="dxa"/>
            <w:tcBorders>
              <w:top w:val="nil"/>
              <w:left w:val="nil"/>
              <w:bottom w:val="nil"/>
              <w:right w:val="nil"/>
            </w:tcBorders>
          </w:tcPr>
          <w:p w14:paraId="1ABDB268" w14:textId="77777777" w:rsidR="00175401" w:rsidRPr="00A3787E" w:rsidRDefault="00175401" w:rsidP="00175401">
            <w:pPr>
              <w:tabs>
                <w:tab w:val="left" w:pos="2410"/>
              </w:tabs>
              <w:jc w:val="both"/>
              <w:rPr>
                <w:rFonts w:ascii="Garamond" w:hAnsi="Garamond"/>
                <w:b/>
                <w:sz w:val="22"/>
                <w:szCs w:val="22"/>
                <w:lang w:val="nl-NL"/>
              </w:rPr>
            </w:pPr>
          </w:p>
        </w:tc>
      </w:tr>
      <w:tr w:rsidR="00175401" w:rsidRPr="00BA2D73" w14:paraId="7B74C13D" w14:textId="77777777" w:rsidTr="0013508B">
        <w:tc>
          <w:tcPr>
            <w:tcW w:w="4496" w:type="dxa"/>
            <w:tcBorders>
              <w:top w:val="nil"/>
              <w:left w:val="nil"/>
              <w:bottom w:val="nil"/>
              <w:right w:val="nil"/>
            </w:tcBorders>
          </w:tcPr>
          <w:p w14:paraId="5F96F487" w14:textId="6CFB5CB6" w:rsidR="00F61D18" w:rsidRPr="00A3787E" w:rsidRDefault="00175401" w:rsidP="00F61D18">
            <w:pPr>
              <w:tabs>
                <w:tab w:val="left" w:pos="356"/>
                <w:tab w:val="left" w:pos="567"/>
                <w:tab w:val="left" w:pos="2268"/>
              </w:tabs>
              <w:jc w:val="both"/>
              <w:rPr>
                <w:rFonts w:ascii="Garamond" w:hAnsi="Garamond"/>
                <w:sz w:val="22"/>
                <w:szCs w:val="22"/>
                <w:lang w:val="fr-BE"/>
              </w:rPr>
            </w:pPr>
            <w:r w:rsidRPr="00A3787E">
              <w:rPr>
                <w:rFonts w:ascii="Garamond" w:hAnsi="Garamond"/>
                <w:b/>
                <w:sz w:val="22"/>
                <w:szCs w:val="22"/>
                <w:lang w:val="fr-BE"/>
              </w:rPr>
              <w:t>Art. 5.</w:t>
            </w:r>
            <w:r w:rsidRPr="00A3787E">
              <w:rPr>
                <w:rFonts w:ascii="Garamond" w:hAnsi="Garamond"/>
                <w:sz w:val="22"/>
                <w:szCs w:val="22"/>
                <w:lang w:val="fr-BE"/>
              </w:rPr>
              <w:t xml:space="preserve"> </w:t>
            </w:r>
            <w:r w:rsidR="00F61D18" w:rsidRPr="00A3787E">
              <w:rPr>
                <w:rFonts w:ascii="Garamond" w:hAnsi="Garamond"/>
                <w:sz w:val="22"/>
                <w:szCs w:val="22"/>
                <w:lang w:val="fr-BE"/>
              </w:rPr>
              <w:t xml:space="preserve">§ </w:t>
            </w:r>
            <w:r w:rsidR="00F61D18" w:rsidRPr="00FA59B8">
              <w:rPr>
                <w:rFonts w:ascii="Garamond" w:hAnsi="Garamond"/>
                <w:sz w:val="22"/>
                <w:szCs w:val="22"/>
                <w:lang w:val="fr-BE"/>
              </w:rPr>
              <w:t>1</w:t>
            </w:r>
            <w:r w:rsidR="00F61D18" w:rsidRPr="00FA59B8">
              <w:rPr>
                <w:rFonts w:ascii="Garamond" w:hAnsi="Garamond"/>
                <w:sz w:val="22"/>
                <w:szCs w:val="22"/>
                <w:vertAlign w:val="superscript"/>
                <w:lang w:val="fr-BE"/>
              </w:rPr>
              <w:t>er</w:t>
            </w:r>
            <w:r w:rsidR="00FA59B8">
              <w:rPr>
                <w:rFonts w:ascii="Garamond" w:hAnsi="Garamond"/>
                <w:sz w:val="22"/>
                <w:szCs w:val="22"/>
                <w:lang w:val="fr-BE"/>
              </w:rPr>
              <w:t xml:space="preserve"> </w:t>
            </w:r>
            <w:r w:rsidR="00564414" w:rsidRPr="00FA59B8">
              <w:rPr>
                <w:rFonts w:ascii="Garamond" w:hAnsi="Garamond"/>
                <w:sz w:val="22"/>
                <w:szCs w:val="22"/>
                <w:lang w:val="fr-BE"/>
              </w:rPr>
              <w:t>Le</w:t>
            </w:r>
            <w:r w:rsidR="00564414" w:rsidRPr="00A3787E">
              <w:rPr>
                <w:rFonts w:ascii="Garamond" w:hAnsi="Garamond"/>
                <w:sz w:val="22"/>
                <w:szCs w:val="22"/>
                <w:lang w:val="fr-BE"/>
              </w:rPr>
              <w:t xml:space="preserve"> président</w:t>
            </w:r>
            <w:r w:rsidR="00F61D18" w:rsidRPr="00A3787E">
              <w:rPr>
                <w:rFonts w:ascii="Garamond" w:hAnsi="Garamond"/>
                <w:sz w:val="22"/>
                <w:szCs w:val="22"/>
                <w:lang w:val="fr-BE"/>
              </w:rPr>
              <w:t xml:space="preserve"> est désigné en début de mandat.</w:t>
            </w:r>
          </w:p>
          <w:p w14:paraId="58BBC2F2" w14:textId="77777777" w:rsidR="00F61D18" w:rsidRPr="00A3787E" w:rsidRDefault="00F61D18" w:rsidP="00F61D18">
            <w:pPr>
              <w:tabs>
                <w:tab w:val="left" w:pos="356"/>
                <w:tab w:val="left" w:pos="567"/>
                <w:tab w:val="left" w:pos="2268"/>
              </w:tabs>
              <w:jc w:val="both"/>
              <w:rPr>
                <w:rFonts w:ascii="Garamond" w:hAnsi="Garamond"/>
                <w:sz w:val="22"/>
                <w:szCs w:val="22"/>
                <w:lang w:val="fr-BE"/>
              </w:rPr>
            </w:pPr>
          </w:p>
          <w:p w14:paraId="7A79CA63" w14:textId="3110B515" w:rsidR="00175401" w:rsidRPr="00A3787E" w:rsidRDefault="00F61D18" w:rsidP="00F61D18">
            <w:pPr>
              <w:tabs>
                <w:tab w:val="left" w:pos="356"/>
                <w:tab w:val="left" w:pos="567"/>
                <w:tab w:val="left" w:pos="2268"/>
              </w:tabs>
              <w:jc w:val="both"/>
              <w:rPr>
                <w:rFonts w:ascii="Garamond" w:hAnsi="Garamond"/>
                <w:sz w:val="22"/>
                <w:szCs w:val="22"/>
                <w:lang w:val="fr-BE"/>
              </w:rPr>
            </w:pPr>
            <w:r w:rsidRPr="00A3787E">
              <w:rPr>
                <w:rFonts w:ascii="Garamond" w:hAnsi="Garamond"/>
                <w:sz w:val="22"/>
                <w:szCs w:val="22"/>
                <w:lang w:val="fr-BE"/>
              </w:rPr>
              <w:t xml:space="preserve">§ </w:t>
            </w:r>
            <w:r w:rsidR="00A3787E" w:rsidRPr="00A3787E">
              <w:rPr>
                <w:rFonts w:ascii="Garamond" w:hAnsi="Garamond"/>
                <w:sz w:val="22"/>
                <w:szCs w:val="22"/>
                <w:lang w:val="fr-BE"/>
              </w:rPr>
              <w:t>2</w:t>
            </w:r>
            <w:r w:rsidRPr="00A3787E">
              <w:rPr>
                <w:rFonts w:ascii="Garamond" w:hAnsi="Garamond"/>
                <w:sz w:val="22"/>
                <w:szCs w:val="22"/>
                <w:lang w:val="fr-BE"/>
              </w:rPr>
              <w:t>. Le secrétariat de la Commission est assuré par un ou plusieurs fonctionnaires du Service.</w:t>
            </w:r>
          </w:p>
        </w:tc>
        <w:tc>
          <w:tcPr>
            <w:tcW w:w="324" w:type="dxa"/>
            <w:tcBorders>
              <w:top w:val="nil"/>
              <w:left w:val="nil"/>
              <w:bottom w:val="nil"/>
              <w:right w:val="nil"/>
            </w:tcBorders>
          </w:tcPr>
          <w:p w14:paraId="2D563060" w14:textId="77777777" w:rsidR="00175401" w:rsidRPr="00A3787E" w:rsidRDefault="00175401" w:rsidP="00175401">
            <w:pPr>
              <w:tabs>
                <w:tab w:val="left" w:pos="2410"/>
              </w:tabs>
              <w:jc w:val="both"/>
              <w:rPr>
                <w:rFonts w:ascii="Garamond" w:hAnsi="Garamond"/>
                <w:sz w:val="22"/>
                <w:szCs w:val="22"/>
                <w:u w:val="single"/>
                <w:lang w:val="fr-BE"/>
              </w:rPr>
            </w:pPr>
          </w:p>
        </w:tc>
        <w:tc>
          <w:tcPr>
            <w:tcW w:w="4463" w:type="dxa"/>
            <w:tcBorders>
              <w:top w:val="nil"/>
              <w:left w:val="nil"/>
              <w:bottom w:val="nil"/>
              <w:right w:val="nil"/>
            </w:tcBorders>
          </w:tcPr>
          <w:p w14:paraId="51C2475D" w14:textId="1D2808F8" w:rsidR="009A0342" w:rsidRPr="00A3787E" w:rsidRDefault="00175401" w:rsidP="009A0342">
            <w:pPr>
              <w:tabs>
                <w:tab w:val="left" w:pos="356"/>
                <w:tab w:val="left" w:pos="567"/>
                <w:tab w:val="left" w:pos="2268"/>
              </w:tabs>
              <w:jc w:val="both"/>
              <w:rPr>
                <w:rFonts w:ascii="Garamond" w:hAnsi="Garamond"/>
                <w:bCs/>
                <w:sz w:val="22"/>
                <w:szCs w:val="22"/>
                <w:lang w:val="nl-NL"/>
              </w:rPr>
            </w:pPr>
            <w:r w:rsidRPr="00A3787E">
              <w:rPr>
                <w:rFonts w:ascii="Garamond" w:hAnsi="Garamond"/>
                <w:b/>
                <w:sz w:val="22"/>
                <w:szCs w:val="22"/>
                <w:lang w:val="nl-NL"/>
              </w:rPr>
              <w:t xml:space="preserve">Art. 5. </w:t>
            </w:r>
            <w:r w:rsidR="009A0342" w:rsidRPr="00A3787E">
              <w:rPr>
                <w:rFonts w:ascii="Garamond" w:hAnsi="Garamond"/>
                <w:bCs/>
                <w:sz w:val="22"/>
                <w:szCs w:val="22"/>
                <w:lang w:val="nl-NL"/>
              </w:rPr>
              <w:t xml:space="preserve">§ 1. De </w:t>
            </w:r>
            <w:r w:rsidR="00564414" w:rsidRPr="00A3787E">
              <w:rPr>
                <w:rFonts w:ascii="Garamond" w:hAnsi="Garamond"/>
                <w:bCs/>
                <w:sz w:val="22"/>
                <w:szCs w:val="22"/>
                <w:lang w:val="nl-NL"/>
              </w:rPr>
              <w:t>voorzitter</w:t>
            </w:r>
            <w:r w:rsidR="009A0342" w:rsidRPr="00A3787E">
              <w:rPr>
                <w:rFonts w:ascii="Garamond" w:hAnsi="Garamond"/>
                <w:bCs/>
                <w:sz w:val="22"/>
                <w:szCs w:val="22"/>
                <w:lang w:val="nl-NL"/>
              </w:rPr>
              <w:t xml:space="preserve"> wordt aan het begin van de ambtstermijn benoemd.</w:t>
            </w:r>
          </w:p>
          <w:p w14:paraId="2538A170" w14:textId="77777777" w:rsidR="009A0342" w:rsidRPr="00A3787E" w:rsidRDefault="009A0342" w:rsidP="009A0342">
            <w:pPr>
              <w:tabs>
                <w:tab w:val="left" w:pos="356"/>
                <w:tab w:val="left" w:pos="567"/>
                <w:tab w:val="left" w:pos="2268"/>
              </w:tabs>
              <w:jc w:val="both"/>
              <w:rPr>
                <w:rFonts w:ascii="Garamond" w:hAnsi="Garamond"/>
                <w:bCs/>
                <w:sz w:val="22"/>
                <w:szCs w:val="22"/>
                <w:lang w:val="nl-NL"/>
              </w:rPr>
            </w:pPr>
          </w:p>
          <w:p w14:paraId="087B40E2" w14:textId="3559BAD9" w:rsidR="00175401" w:rsidRPr="00A3787E" w:rsidRDefault="009A0342" w:rsidP="009A0342">
            <w:pPr>
              <w:tabs>
                <w:tab w:val="left" w:pos="356"/>
                <w:tab w:val="left" w:pos="567"/>
                <w:tab w:val="left" w:pos="2268"/>
              </w:tabs>
              <w:jc w:val="both"/>
              <w:rPr>
                <w:rFonts w:ascii="Garamond" w:hAnsi="Garamond"/>
                <w:bCs/>
                <w:sz w:val="22"/>
                <w:szCs w:val="22"/>
                <w:lang w:val="nl-NL"/>
              </w:rPr>
            </w:pPr>
            <w:r w:rsidRPr="00A3787E">
              <w:rPr>
                <w:rFonts w:ascii="Garamond" w:hAnsi="Garamond"/>
                <w:bCs/>
                <w:sz w:val="22"/>
                <w:szCs w:val="22"/>
                <w:lang w:val="nl-NL"/>
              </w:rPr>
              <w:t xml:space="preserve">§ </w:t>
            </w:r>
            <w:r w:rsidR="00A3787E" w:rsidRPr="00A3787E">
              <w:rPr>
                <w:rFonts w:ascii="Garamond" w:hAnsi="Garamond"/>
                <w:bCs/>
                <w:sz w:val="22"/>
                <w:szCs w:val="22"/>
                <w:lang w:val="nl-NL"/>
              </w:rPr>
              <w:t>2</w:t>
            </w:r>
            <w:r w:rsidRPr="00A3787E">
              <w:rPr>
                <w:rFonts w:ascii="Garamond" w:hAnsi="Garamond"/>
                <w:bCs/>
                <w:sz w:val="22"/>
                <w:szCs w:val="22"/>
                <w:lang w:val="nl-NL"/>
              </w:rPr>
              <w:t xml:space="preserve">. Het secretariaat van de </w:t>
            </w:r>
            <w:r w:rsidR="0004694F" w:rsidRPr="00A3787E">
              <w:rPr>
                <w:rFonts w:ascii="Garamond" w:hAnsi="Garamond"/>
                <w:bCs/>
                <w:sz w:val="22"/>
                <w:szCs w:val="22"/>
                <w:lang w:val="nl-NL"/>
              </w:rPr>
              <w:t>C</w:t>
            </w:r>
            <w:r w:rsidRPr="00A3787E">
              <w:rPr>
                <w:rFonts w:ascii="Garamond" w:hAnsi="Garamond"/>
                <w:bCs/>
                <w:sz w:val="22"/>
                <w:szCs w:val="22"/>
                <w:lang w:val="nl-NL"/>
              </w:rPr>
              <w:t>ommissie wordt waargenomen door een of meer ambtenaren van de Dienst.</w:t>
            </w:r>
          </w:p>
        </w:tc>
      </w:tr>
      <w:tr w:rsidR="00175401" w:rsidRPr="00BA2D73" w14:paraId="228E8E16" w14:textId="77777777" w:rsidTr="0013508B">
        <w:tc>
          <w:tcPr>
            <w:tcW w:w="4496" w:type="dxa"/>
            <w:tcBorders>
              <w:top w:val="nil"/>
              <w:left w:val="nil"/>
              <w:bottom w:val="nil"/>
              <w:right w:val="nil"/>
            </w:tcBorders>
          </w:tcPr>
          <w:p w14:paraId="492648A1" w14:textId="77777777" w:rsidR="00175401" w:rsidRPr="006A6FA6" w:rsidRDefault="00175401" w:rsidP="00175401">
            <w:pPr>
              <w:tabs>
                <w:tab w:val="left" w:pos="356"/>
                <w:tab w:val="left" w:pos="567"/>
                <w:tab w:val="left" w:pos="2268"/>
              </w:tabs>
              <w:jc w:val="both"/>
              <w:rPr>
                <w:rFonts w:ascii="Garamond" w:hAnsi="Garamond"/>
                <w:sz w:val="22"/>
                <w:lang w:val="nl-NL"/>
              </w:rPr>
            </w:pPr>
          </w:p>
        </w:tc>
        <w:tc>
          <w:tcPr>
            <w:tcW w:w="324" w:type="dxa"/>
            <w:tcBorders>
              <w:top w:val="nil"/>
              <w:left w:val="nil"/>
              <w:bottom w:val="nil"/>
              <w:right w:val="nil"/>
            </w:tcBorders>
          </w:tcPr>
          <w:p w14:paraId="5CBD31E9" w14:textId="77777777" w:rsidR="00175401" w:rsidRPr="006A6FA6" w:rsidRDefault="00175401" w:rsidP="00175401">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6130A749" w14:textId="77777777" w:rsidR="00175401" w:rsidRPr="006A6FA6" w:rsidRDefault="00175401" w:rsidP="00175401">
            <w:pPr>
              <w:tabs>
                <w:tab w:val="left" w:pos="356"/>
                <w:tab w:val="left" w:pos="567"/>
                <w:tab w:val="left" w:pos="2268"/>
              </w:tabs>
              <w:jc w:val="both"/>
              <w:rPr>
                <w:rFonts w:ascii="Garamond" w:hAnsi="Garamond"/>
                <w:b/>
                <w:sz w:val="22"/>
                <w:highlight w:val="yellow"/>
                <w:lang w:val="nl-NL"/>
              </w:rPr>
            </w:pPr>
          </w:p>
        </w:tc>
      </w:tr>
      <w:tr w:rsidR="00F61D18" w:rsidRPr="00BA2D73" w14:paraId="08749E6B" w14:textId="77777777" w:rsidTr="0013508B">
        <w:tc>
          <w:tcPr>
            <w:tcW w:w="4496" w:type="dxa"/>
            <w:tcBorders>
              <w:top w:val="nil"/>
              <w:left w:val="nil"/>
              <w:bottom w:val="nil"/>
              <w:right w:val="nil"/>
            </w:tcBorders>
          </w:tcPr>
          <w:p w14:paraId="40AB7A6A" w14:textId="1269328D" w:rsidR="00F61D18" w:rsidRPr="00F61D18" w:rsidRDefault="00F61D18" w:rsidP="00F61D18">
            <w:pPr>
              <w:tabs>
                <w:tab w:val="left" w:pos="356"/>
                <w:tab w:val="left" w:pos="567"/>
                <w:tab w:val="left" w:pos="2268"/>
              </w:tabs>
              <w:jc w:val="both"/>
              <w:rPr>
                <w:rFonts w:ascii="Garamond" w:hAnsi="Garamond"/>
                <w:sz w:val="22"/>
                <w:lang w:val="fr-BE"/>
              </w:rPr>
            </w:pPr>
            <w:r w:rsidRPr="00044F57">
              <w:rPr>
                <w:rFonts w:ascii="Garamond" w:hAnsi="Garamond"/>
                <w:b/>
                <w:bCs/>
                <w:sz w:val="22"/>
                <w:lang w:val="fr-BE"/>
              </w:rPr>
              <w:t xml:space="preserve">Art. </w:t>
            </w:r>
            <w:r w:rsidR="00044F57">
              <w:rPr>
                <w:rFonts w:ascii="Garamond" w:hAnsi="Garamond"/>
                <w:b/>
                <w:bCs/>
                <w:sz w:val="22"/>
                <w:lang w:val="fr-BE"/>
              </w:rPr>
              <w:t>6</w:t>
            </w:r>
            <w:r w:rsidRPr="00044F57">
              <w:rPr>
                <w:rFonts w:ascii="Garamond" w:hAnsi="Garamond"/>
                <w:b/>
                <w:bCs/>
                <w:sz w:val="22"/>
                <w:lang w:val="fr-BE"/>
              </w:rPr>
              <w:t>.</w:t>
            </w:r>
            <w:r w:rsidRPr="00F61D18">
              <w:rPr>
                <w:rFonts w:ascii="Garamond" w:hAnsi="Garamond"/>
                <w:sz w:val="22"/>
                <w:lang w:val="fr-BE"/>
              </w:rPr>
              <w:t xml:space="preserve"> Les membres, exceptés les fonctionnaires, et les experts invités reçoivent les indemnités suivantes</w:t>
            </w:r>
            <w:r w:rsidR="00EE073A">
              <w:rPr>
                <w:rFonts w:ascii="Garamond" w:hAnsi="Garamond"/>
                <w:sz w:val="22"/>
                <w:lang w:val="fr-BE"/>
              </w:rPr>
              <w:t xml:space="preserve"> </w:t>
            </w:r>
            <w:r w:rsidRPr="00F61D18">
              <w:rPr>
                <w:rFonts w:ascii="Garamond" w:hAnsi="Garamond"/>
                <w:sz w:val="22"/>
                <w:lang w:val="fr-BE"/>
              </w:rPr>
              <w:t>:</w:t>
            </w:r>
          </w:p>
          <w:p w14:paraId="0D840330" w14:textId="2DA79E1B" w:rsidR="00F61D18" w:rsidRPr="00F61D18" w:rsidRDefault="00F61D18" w:rsidP="00F61D18">
            <w:pPr>
              <w:tabs>
                <w:tab w:val="left" w:pos="356"/>
                <w:tab w:val="left" w:pos="567"/>
                <w:tab w:val="left" w:pos="2268"/>
              </w:tabs>
              <w:jc w:val="both"/>
              <w:rPr>
                <w:rFonts w:ascii="Garamond" w:hAnsi="Garamond"/>
                <w:sz w:val="22"/>
                <w:lang w:val="fr-BE"/>
              </w:rPr>
            </w:pPr>
            <w:r w:rsidRPr="00F61D18">
              <w:rPr>
                <w:rFonts w:ascii="Garamond" w:hAnsi="Garamond"/>
                <w:sz w:val="22"/>
                <w:lang w:val="fr-BE"/>
              </w:rPr>
              <w:t>1° ils reçoivent un jeton de présence de 30 euros pour les réunions auxquelles ils participent</w:t>
            </w:r>
            <w:r w:rsidR="00EE073A">
              <w:rPr>
                <w:rFonts w:ascii="Garamond" w:hAnsi="Garamond"/>
                <w:sz w:val="22"/>
                <w:lang w:val="fr-BE"/>
              </w:rPr>
              <w:t xml:space="preserve"> </w:t>
            </w:r>
            <w:r w:rsidRPr="00F61D18">
              <w:rPr>
                <w:rFonts w:ascii="Garamond" w:hAnsi="Garamond"/>
                <w:sz w:val="22"/>
                <w:lang w:val="fr-BE"/>
              </w:rPr>
              <w:t>;</w:t>
            </w:r>
          </w:p>
          <w:p w14:paraId="1C7AF147" w14:textId="38BFB44A" w:rsidR="00F61D18" w:rsidRPr="00F61D18" w:rsidRDefault="00F61D18" w:rsidP="00F61D18">
            <w:pPr>
              <w:tabs>
                <w:tab w:val="left" w:pos="356"/>
                <w:tab w:val="left" w:pos="567"/>
                <w:tab w:val="left" w:pos="2268"/>
              </w:tabs>
              <w:jc w:val="both"/>
              <w:rPr>
                <w:rFonts w:ascii="Garamond" w:hAnsi="Garamond"/>
                <w:sz w:val="22"/>
                <w:lang w:val="fr-BE"/>
              </w:rPr>
            </w:pPr>
            <w:r w:rsidRPr="00F61D18">
              <w:rPr>
                <w:rFonts w:ascii="Garamond" w:hAnsi="Garamond"/>
                <w:sz w:val="22"/>
                <w:lang w:val="fr-BE"/>
              </w:rPr>
              <w:t>2° ceux qui rédigent un rapport dans le cadre d'une évaluation reçoivent une rémunération de 45 euros par rapport ;</w:t>
            </w:r>
          </w:p>
          <w:p w14:paraId="3386E40C" w14:textId="68C4FC4C" w:rsidR="00F61D18" w:rsidRP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3</w:t>
            </w:r>
            <w:r w:rsidR="00F61D18" w:rsidRPr="00F61D18">
              <w:rPr>
                <w:rFonts w:ascii="Garamond" w:hAnsi="Garamond"/>
                <w:sz w:val="22"/>
                <w:lang w:val="fr-BE"/>
              </w:rPr>
              <w:t>° les frais de déplacement sont remboursés conformément à l'arrêté royal du 18 janvier 1965 portant réglementation générale en matière de frais de déplacement</w:t>
            </w:r>
            <w:r w:rsidR="00EE073A">
              <w:rPr>
                <w:rFonts w:ascii="Garamond" w:hAnsi="Garamond"/>
                <w:sz w:val="22"/>
                <w:lang w:val="fr-BE"/>
              </w:rPr>
              <w:t xml:space="preserve"> </w:t>
            </w:r>
            <w:r w:rsidR="00F61D18" w:rsidRPr="00F61D18">
              <w:rPr>
                <w:rFonts w:ascii="Garamond" w:hAnsi="Garamond"/>
                <w:sz w:val="22"/>
                <w:lang w:val="fr-BE"/>
              </w:rPr>
              <w:t>;</w:t>
            </w:r>
          </w:p>
          <w:p w14:paraId="4940CAB0" w14:textId="4BEC4B4A" w:rsidR="00F61D18" w:rsidRP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4</w:t>
            </w:r>
            <w:r w:rsidR="00F61D18" w:rsidRPr="00F61D18">
              <w:rPr>
                <w:rFonts w:ascii="Garamond" w:hAnsi="Garamond"/>
                <w:sz w:val="22"/>
                <w:lang w:val="fr-BE"/>
              </w:rPr>
              <w:t xml:space="preserve">° </w:t>
            </w:r>
            <w:r w:rsidR="00EC0136">
              <w:rPr>
                <w:rFonts w:ascii="Garamond" w:hAnsi="Garamond"/>
                <w:sz w:val="22"/>
                <w:lang w:val="fr-BE"/>
              </w:rPr>
              <w:t>l</w:t>
            </w:r>
            <w:r w:rsidR="00F61D18" w:rsidRPr="00F61D18">
              <w:rPr>
                <w:rFonts w:ascii="Garamond" w:hAnsi="Garamond"/>
                <w:sz w:val="22"/>
                <w:lang w:val="fr-BE"/>
              </w:rPr>
              <w:t>es montants mentionnés au premier alinéa sont automatiquement adaptés le 1</w:t>
            </w:r>
            <w:r w:rsidRPr="00044F57">
              <w:rPr>
                <w:rFonts w:ascii="Garamond" w:hAnsi="Garamond"/>
                <w:sz w:val="22"/>
                <w:vertAlign w:val="superscript"/>
                <w:lang w:val="fr-BE"/>
              </w:rPr>
              <w:t>er</w:t>
            </w:r>
            <w:r>
              <w:rPr>
                <w:rFonts w:ascii="Garamond" w:hAnsi="Garamond"/>
                <w:sz w:val="22"/>
                <w:lang w:val="fr-BE"/>
              </w:rPr>
              <w:t xml:space="preserve"> </w:t>
            </w:r>
            <w:r w:rsidR="00F61D18" w:rsidRPr="00F61D18">
              <w:rPr>
                <w:rFonts w:ascii="Garamond" w:hAnsi="Garamond"/>
                <w:sz w:val="22"/>
                <w:lang w:val="fr-BE"/>
              </w:rPr>
              <w:t>janvier de chaque année en fonction de l'évolution de l'indice santé du mois de novembre de l'année précédente.</w:t>
            </w:r>
          </w:p>
        </w:tc>
        <w:tc>
          <w:tcPr>
            <w:tcW w:w="324" w:type="dxa"/>
            <w:tcBorders>
              <w:top w:val="nil"/>
              <w:left w:val="nil"/>
              <w:bottom w:val="nil"/>
              <w:right w:val="nil"/>
            </w:tcBorders>
          </w:tcPr>
          <w:p w14:paraId="55AC9568" w14:textId="77777777" w:rsidR="00F61D18" w:rsidRPr="00F61D18" w:rsidRDefault="00F61D18"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455A8E70" w14:textId="77777777" w:rsidR="009A0342" w:rsidRPr="009A0342" w:rsidRDefault="009A0342" w:rsidP="009A0342">
            <w:pPr>
              <w:tabs>
                <w:tab w:val="left" w:pos="356"/>
                <w:tab w:val="left" w:pos="567"/>
                <w:tab w:val="left" w:pos="2268"/>
              </w:tabs>
              <w:jc w:val="both"/>
              <w:rPr>
                <w:rFonts w:ascii="Garamond" w:hAnsi="Garamond"/>
                <w:bCs/>
                <w:sz w:val="22"/>
                <w:lang w:val="nl-BE"/>
              </w:rPr>
            </w:pPr>
            <w:r w:rsidRPr="009A0342">
              <w:rPr>
                <w:rFonts w:ascii="Garamond" w:hAnsi="Garamond"/>
                <w:b/>
                <w:sz w:val="22"/>
                <w:lang w:val="nl-BE"/>
              </w:rPr>
              <w:t xml:space="preserve">Art. 6 </w:t>
            </w:r>
            <w:r w:rsidRPr="009A0342">
              <w:rPr>
                <w:rFonts w:ascii="Garamond" w:hAnsi="Garamond"/>
                <w:bCs/>
                <w:sz w:val="22"/>
                <w:lang w:val="nl-BE"/>
              </w:rPr>
              <w:t xml:space="preserve">De leden, met uitzondering van de ambtenaren, en de uitgenodigde </w:t>
            </w:r>
            <w:r w:rsidRPr="00EC0136">
              <w:rPr>
                <w:rFonts w:ascii="Garamond" w:hAnsi="Garamond"/>
                <w:bCs/>
                <w:sz w:val="22"/>
                <w:lang w:val="nl-BE"/>
              </w:rPr>
              <w:t>deskundigen</w:t>
            </w:r>
            <w:r w:rsidRPr="009A0342">
              <w:rPr>
                <w:rFonts w:ascii="Garamond" w:hAnsi="Garamond"/>
                <w:bCs/>
                <w:sz w:val="22"/>
                <w:lang w:val="nl-BE"/>
              </w:rPr>
              <w:t xml:space="preserve"> ontvangen de volgende vergoedingen:</w:t>
            </w:r>
          </w:p>
          <w:p w14:paraId="3E172B90" w14:textId="32FFA7FF" w:rsidR="009A0342" w:rsidRPr="009A0342" w:rsidRDefault="009A0342" w:rsidP="009A0342">
            <w:pPr>
              <w:tabs>
                <w:tab w:val="left" w:pos="356"/>
                <w:tab w:val="left" w:pos="567"/>
                <w:tab w:val="left" w:pos="2268"/>
              </w:tabs>
              <w:jc w:val="both"/>
              <w:rPr>
                <w:rFonts w:ascii="Garamond" w:hAnsi="Garamond"/>
                <w:bCs/>
                <w:sz w:val="22"/>
                <w:lang w:val="nl-BE"/>
              </w:rPr>
            </w:pPr>
            <w:r w:rsidRPr="009A0342">
              <w:rPr>
                <w:rFonts w:ascii="Garamond" w:hAnsi="Garamond"/>
                <w:bCs/>
                <w:sz w:val="22"/>
                <w:lang w:val="nl-BE"/>
              </w:rPr>
              <w:t>1° zij ontvangen een presentiegeld van 30 euro voor de vergaderingen die zij bijwonen</w:t>
            </w:r>
            <w:r>
              <w:rPr>
                <w:rFonts w:ascii="Garamond" w:hAnsi="Garamond"/>
                <w:bCs/>
                <w:sz w:val="22"/>
                <w:lang w:val="nl-BE"/>
              </w:rPr>
              <w:t>;</w:t>
            </w:r>
          </w:p>
          <w:p w14:paraId="19EF1B17" w14:textId="14DCC37F" w:rsidR="009A0342" w:rsidRPr="009A0342" w:rsidRDefault="009A0342" w:rsidP="009A0342">
            <w:pPr>
              <w:tabs>
                <w:tab w:val="left" w:pos="356"/>
                <w:tab w:val="left" w:pos="567"/>
                <w:tab w:val="left" w:pos="2268"/>
              </w:tabs>
              <w:jc w:val="both"/>
              <w:rPr>
                <w:rFonts w:ascii="Garamond" w:hAnsi="Garamond"/>
                <w:bCs/>
                <w:sz w:val="22"/>
                <w:lang w:val="nl-BE"/>
              </w:rPr>
            </w:pPr>
            <w:r w:rsidRPr="009A0342">
              <w:rPr>
                <w:rFonts w:ascii="Garamond" w:hAnsi="Garamond"/>
                <w:bCs/>
                <w:sz w:val="22"/>
                <w:lang w:val="nl-BE"/>
              </w:rPr>
              <w:t>2° zij die een verslag schrijven in het kader van een evaluatie ontvangen een vergoeding van 45 euro per verslag</w:t>
            </w:r>
            <w:r>
              <w:rPr>
                <w:rFonts w:ascii="Garamond" w:hAnsi="Garamond"/>
                <w:bCs/>
                <w:sz w:val="22"/>
                <w:lang w:val="nl-BE"/>
              </w:rPr>
              <w:t>;</w:t>
            </w:r>
          </w:p>
          <w:p w14:paraId="04EF0ACA" w14:textId="5BE31DEB" w:rsidR="009A0342" w:rsidRPr="009A0342" w:rsidRDefault="009A0342" w:rsidP="009A0342">
            <w:pPr>
              <w:tabs>
                <w:tab w:val="left" w:pos="356"/>
                <w:tab w:val="left" w:pos="567"/>
                <w:tab w:val="left" w:pos="2268"/>
              </w:tabs>
              <w:jc w:val="both"/>
              <w:rPr>
                <w:rFonts w:ascii="Garamond" w:hAnsi="Garamond"/>
                <w:bCs/>
                <w:sz w:val="22"/>
                <w:lang w:val="nl-BE"/>
              </w:rPr>
            </w:pPr>
            <w:r w:rsidRPr="009A0342">
              <w:rPr>
                <w:rFonts w:ascii="Garamond" w:hAnsi="Garamond"/>
                <w:bCs/>
                <w:sz w:val="22"/>
                <w:lang w:val="nl-BE"/>
              </w:rPr>
              <w:t xml:space="preserve">3° de reiskosten worden vergoed overeenkomstig het koninklijk besluit van 18 januari 1965 houdende algemene regeling </w:t>
            </w:r>
            <w:r>
              <w:rPr>
                <w:rFonts w:ascii="Garamond" w:hAnsi="Garamond"/>
                <w:bCs/>
                <w:sz w:val="22"/>
                <w:lang w:val="nl-BE"/>
              </w:rPr>
              <w:t>inzake</w:t>
            </w:r>
            <w:r w:rsidRPr="009A0342">
              <w:rPr>
                <w:rFonts w:ascii="Garamond" w:hAnsi="Garamond"/>
                <w:bCs/>
                <w:sz w:val="22"/>
                <w:lang w:val="nl-BE"/>
              </w:rPr>
              <w:t xml:space="preserve"> reiskosten;</w:t>
            </w:r>
          </w:p>
          <w:p w14:paraId="464A71EA" w14:textId="4B14DD5F" w:rsidR="00EE073A" w:rsidRDefault="00EE073A" w:rsidP="009A0342">
            <w:pPr>
              <w:tabs>
                <w:tab w:val="left" w:pos="356"/>
                <w:tab w:val="left" w:pos="567"/>
                <w:tab w:val="left" w:pos="2268"/>
              </w:tabs>
              <w:jc w:val="both"/>
              <w:rPr>
                <w:rFonts w:ascii="Garamond" w:hAnsi="Garamond"/>
                <w:bCs/>
                <w:sz w:val="22"/>
                <w:lang w:val="nl-BE"/>
              </w:rPr>
            </w:pPr>
          </w:p>
          <w:p w14:paraId="58EC9DF5" w14:textId="4311423B" w:rsidR="00F61D18" w:rsidRPr="009A0342" w:rsidRDefault="009A0342" w:rsidP="009A0342">
            <w:pPr>
              <w:tabs>
                <w:tab w:val="left" w:pos="356"/>
                <w:tab w:val="left" w:pos="567"/>
                <w:tab w:val="left" w:pos="2268"/>
              </w:tabs>
              <w:jc w:val="both"/>
              <w:rPr>
                <w:rFonts w:ascii="Garamond" w:hAnsi="Garamond"/>
                <w:b/>
                <w:sz w:val="22"/>
                <w:highlight w:val="yellow"/>
                <w:lang w:val="nl-BE"/>
              </w:rPr>
            </w:pPr>
            <w:r w:rsidRPr="009A0342">
              <w:rPr>
                <w:rFonts w:ascii="Garamond" w:hAnsi="Garamond"/>
                <w:bCs/>
                <w:sz w:val="22"/>
                <w:lang w:val="nl-BE"/>
              </w:rPr>
              <w:t xml:space="preserve">4° </w:t>
            </w:r>
            <w:r w:rsidR="00EC0136">
              <w:rPr>
                <w:rFonts w:ascii="Garamond" w:hAnsi="Garamond"/>
                <w:bCs/>
                <w:sz w:val="22"/>
                <w:lang w:val="nl-BE"/>
              </w:rPr>
              <w:t>d</w:t>
            </w:r>
            <w:r w:rsidRPr="009A0342">
              <w:rPr>
                <w:rFonts w:ascii="Garamond" w:hAnsi="Garamond"/>
                <w:bCs/>
                <w:sz w:val="22"/>
                <w:lang w:val="nl-BE"/>
              </w:rPr>
              <w:t>e in het eerste lid bedoelde bedragen worden op 1 januari van elk jaar automatisch aangepast aan de evolutie van de gezondheidsindex van november van het voorgaande jaar.</w:t>
            </w:r>
          </w:p>
        </w:tc>
      </w:tr>
      <w:tr w:rsidR="00F61D18" w:rsidRPr="00BA2D73" w14:paraId="0B750B4E" w14:textId="77777777" w:rsidTr="0013508B">
        <w:tc>
          <w:tcPr>
            <w:tcW w:w="4496" w:type="dxa"/>
            <w:tcBorders>
              <w:top w:val="nil"/>
              <w:left w:val="nil"/>
              <w:bottom w:val="nil"/>
              <w:right w:val="nil"/>
            </w:tcBorders>
          </w:tcPr>
          <w:p w14:paraId="3BDAF285" w14:textId="77777777" w:rsidR="00F61D18" w:rsidRPr="009A0342" w:rsidRDefault="00F61D18" w:rsidP="00175401">
            <w:pPr>
              <w:tabs>
                <w:tab w:val="left" w:pos="356"/>
                <w:tab w:val="left" w:pos="567"/>
                <w:tab w:val="left" w:pos="2268"/>
              </w:tabs>
              <w:jc w:val="both"/>
              <w:rPr>
                <w:rFonts w:ascii="Garamond" w:hAnsi="Garamond"/>
                <w:sz w:val="22"/>
                <w:lang w:val="nl-BE"/>
              </w:rPr>
            </w:pPr>
          </w:p>
        </w:tc>
        <w:tc>
          <w:tcPr>
            <w:tcW w:w="324" w:type="dxa"/>
            <w:tcBorders>
              <w:top w:val="nil"/>
              <w:left w:val="nil"/>
              <w:bottom w:val="nil"/>
              <w:right w:val="nil"/>
            </w:tcBorders>
          </w:tcPr>
          <w:p w14:paraId="59969B87" w14:textId="77777777" w:rsidR="00F61D18" w:rsidRPr="009A0342" w:rsidRDefault="00F61D18" w:rsidP="00175401">
            <w:pPr>
              <w:tabs>
                <w:tab w:val="left" w:pos="2410"/>
              </w:tabs>
              <w:jc w:val="both"/>
              <w:rPr>
                <w:rFonts w:ascii="Garamond" w:hAnsi="Garamond"/>
                <w:sz w:val="22"/>
                <w:u w:val="single"/>
                <w:lang w:val="nl-BE"/>
              </w:rPr>
            </w:pPr>
          </w:p>
        </w:tc>
        <w:tc>
          <w:tcPr>
            <w:tcW w:w="4463" w:type="dxa"/>
            <w:tcBorders>
              <w:top w:val="nil"/>
              <w:left w:val="nil"/>
              <w:bottom w:val="nil"/>
              <w:right w:val="nil"/>
            </w:tcBorders>
          </w:tcPr>
          <w:p w14:paraId="01D96143" w14:textId="77777777" w:rsidR="00F61D18" w:rsidRPr="009A0342" w:rsidRDefault="00F61D18" w:rsidP="00175401">
            <w:pPr>
              <w:tabs>
                <w:tab w:val="left" w:pos="356"/>
                <w:tab w:val="left" w:pos="567"/>
                <w:tab w:val="left" w:pos="2268"/>
              </w:tabs>
              <w:jc w:val="both"/>
              <w:rPr>
                <w:rFonts w:ascii="Garamond" w:hAnsi="Garamond"/>
                <w:b/>
                <w:sz w:val="22"/>
                <w:highlight w:val="yellow"/>
                <w:lang w:val="nl-BE"/>
              </w:rPr>
            </w:pPr>
          </w:p>
        </w:tc>
      </w:tr>
      <w:tr w:rsidR="00F61D18" w:rsidRPr="00BA2D73" w14:paraId="548E7037" w14:textId="77777777" w:rsidTr="0013508B">
        <w:tc>
          <w:tcPr>
            <w:tcW w:w="4496" w:type="dxa"/>
            <w:tcBorders>
              <w:top w:val="nil"/>
              <w:left w:val="nil"/>
              <w:bottom w:val="nil"/>
              <w:right w:val="nil"/>
            </w:tcBorders>
          </w:tcPr>
          <w:p w14:paraId="2617D7A4" w14:textId="4C85C51F" w:rsidR="00F61D18" w:rsidRPr="00F61D18" w:rsidRDefault="00F61D18" w:rsidP="00044F57">
            <w:pPr>
              <w:tabs>
                <w:tab w:val="left" w:pos="356"/>
                <w:tab w:val="left" w:pos="567"/>
                <w:tab w:val="left" w:pos="2268"/>
              </w:tabs>
              <w:jc w:val="both"/>
              <w:rPr>
                <w:rFonts w:ascii="Garamond" w:hAnsi="Garamond"/>
                <w:sz w:val="22"/>
                <w:lang w:val="fr-BE"/>
              </w:rPr>
            </w:pPr>
            <w:r w:rsidRPr="00044F57">
              <w:rPr>
                <w:rFonts w:ascii="Garamond" w:hAnsi="Garamond"/>
                <w:b/>
                <w:bCs/>
                <w:sz w:val="22"/>
                <w:lang w:val="fr-BE"/>
              </w:rPr>
              <w:t xml:space="preserve">Art. </w:t>
            </w:r>
            <w:r w:rsidR="00044F57" w:rsidRPr="00044F57">
              <w:rPr>
                <w:rFonts w:ascii="Garamond" w:hAnsi="Garamond"/>
                <w:b/>
                <w:bCs/>
                <w:sz w:val="22"/>
                <w:lang w:val="fr-BE"/>
              </w:rPr>
              <w:t>7</w:t>
            </w:r>
            <w:r w:rsidRPr="00F61D18">
              <w:rPr>
                <w:rFonts w:ascii="Garamond" w:hAnsi="Garamond"/>
                <w:sz w:val="22"/>
                <w:lang w:val="fr-BE"/>
              </w:rPr>
              <w:t xml:space="preserve">. La Commission a pour mission d’analyser les cas et rapports d’effets indésirables, leur gravité et leur imputabilité. Elle peut identifier les cas à risque, donner des conseils </w:t>
            </w:r>
            <w:r w:rsidR="00A3787E">
              <w:rPr>
                <w:rFonts w:ascii="Garamond" w:hAnsi="Garamond"/>
                <w:sz w:val="22"/>
                <w:lang w:val="fr-BE"/>
              </w:rPr>
              <w:t>au Service</w:t>
            </w:r>
            <w:r w:rsidRPr="00F61D18">
              <w:rPr>
                <w:rFonts w:ascii="Garamond" w:hAnsi="Garamond"/>
                <w:sz w:val="22"/>
                <w:lang w:val="fr-BE"/>
              </w:rPr>
              <w:t xml:space="preserve"> pour la surveillance des effets et proposer de renvoyer les cas à d’autres instances publiques scientifiques ou administratives.</w:t>
            </w:r>
          </w:p>
        </w:tc>
        <w:tc>
          <w:tcPr>
            <w:tcW w:w="324" w:type="dxa"/>
            <w:tcBorders>
              <w:top w:val="nil"/>
              <w:left w:val="nil"/>
              <w:bottom w:val="nil"/>
              <w:right w:val="nil"/>
            </w:tcBorders>
          </w:tcPr>
          <w:p w14:paraId="7BB87D53" w14:textId="77777777" w:rsidR="00F61D18" w:rsidRPr="00F61D18" w:rsidRDefault="00F61D18"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6FACD5AE" w14:textId="5C5F7FE0" w:rsidR="00F61D18" w:rsidRPr="00AD5EDA" w:rsidRDefault="00AD5EDA" w:rsidP="00175401">
            <w:pPr>
              <w:tabs>
                <w:tab w:val="left" w:pos="356"/>
                <w:tab w:val="left" w:pos="567"/>
                <w:tab w:val="left" w:pos="2268"/>
              </w:tabs>
              <w:jc w:val="both"/>
              <w:rPr>
                <w:rFonts w:ascii="Garamond" w:hAnsi="Garamond"/>
                <w:b/>
                <w:sz w:val="22"/>
                <w:highlight w:val="yellow"/>
                <w:lang w:val="nl-BE"/>
              </w:rPr>
            </w:pPr>
            <w:r w:rsidRPr="00AD5EDA">
              <w:rPr>
                <w:rFonts w:ascii="Garamond" w:hAnsi="Garamond"/>
                <w:b/>
                <w:sz w:val="22"/>
                <w:lang w:val="nl-BE"/>
              </w:rPr>
              <w:t>Art. 7</w:t>
            </w:r>
            <w:r w:rsidR="00BB06B6">
              <w:rPr>
                <w:rFonts w:ascii="Garamond" w:hAnsi="Garamond"/>
                <w:b/>
                <w:sz w:val="22"/>
                <w:lang w:val="nl-BE"/>
              </w:rPr>
              <w:t>.</w:t>
            </w:r>
            <w:r w:rsidRPr="00AD5EDA">
              <w:rPr>
                <w:rFonts w:ascii="Garamond" w:hAnsi="Garamond"/>
                <w:b/>
                <w:sz w:val="22"/>
                <w:lang w:val="nl-BE"/>
              </w:rPr>
              <w:t xml:space="preserve"> </w:t>
            </w:r>
            <w:r w:rsidRPr="00AD5EDA">
              <w:rPr>
                <w:rFonts w:ascii="Garamond" w:hAnsi="Garamond"/>
                <w:bCs/>
                <w:sz w:val="22"/>
                <w:lang w:val="nl-BE"/>
              </w:rPr>
              <w:t xml:space="preserve">De Commissie heeft tot taak de gevallen en meldingen van bijwerkingen, de ernst en de toerekenbaarheid ervan te analyseren. Zij kan risicogevallen vaststellen, de </w:t>
            </w:r>
            <w:r w:rsidR="00A3787E">
              <w:rPr>
                <w:rFonts w:ascii="Garamond" w:hAnsi="Garamond"/>
                <w:bCs/>
                <w:sz w:val="22"/>
                <w:lang w:val="nl-BE"/>
              </w:rPr>
              <w:t>Dienst</w:t>
            </w:r>
            <w:r w:rsidR="00A3787E" w:rsidRPr="00AD5EDA">
              <w:rPr>
                <w:rFonts w:ascii="Garamond" w:hAnsi="Garamond"/>
                <w:bCs/>
                <w:sz w:val="22"/>
                <w:lang w:val="nl-BE"/>
              </w:rPr>
              <w:t xml:space="preserve"> </w:t>
            </w:r>
            <w:r w:rsidRPr="00AD5EDA">
              <w:rPr>
                <w:rFonts w:ascii="Garamond" w:hAnsi="Garamond"/>
                <w:bCs/>
                <w:sz w:val="22"/>
                <w:lang w:val="nl-BE"/>
              </w:rPr>
              <w:t>advies geven over het toezicht op de reacties en voorstellen om gevallen naar andere openbare wetenschappelijke of administratieve instanties door te verwijzen.</w:t>
            </w:r>
          </w:p>
        </w:tc>
      </w:tr>
      <w:tr w:rsidR="00F61D18" w:rsidRPr="00BA2D73" w14:paraId="4EC34F52" w14:textId="77777777" w:rsidTr="0013508B">
        <w:tc>
          <w:tcPr>
            <w:tcW w:w="4496" w:type="dxa"/>
            <w:tcBorders>
              <w:top w:val="nil"/>
              <w:left w:val="nil"/>
              <w:bottom w:val="nil"/>
              <w:right w:val="nil"/>
            </w:tcBorders>
          </w:tcPr>
          <w:p w14:paraId="7E84071C" w14:textId="77777777" w:rsidR="00F61D18" w:rsidRPr="00AD5EDA" w:rsidRDefault="00F61D18" w:rsidP="00175401">
            <w:pPr>
              <w:tabs>
                <w:tab w:val="left" w:pos="356"/>
                <w:tab w:val="left" w:pos="567"/>
                <w:tab w:val="left" w:pos="2268"/>
              </w:tabs>
              <w:jc w:val="both"/>
              <w:rPr>
                <w:rFonts w:ascii="Garamond" w:hAnsi="Garamond"/>
                <w:sz w:val="22"/>
                <w:lang w:val="nl-BE"/>
              </w:rPr>
            </w:pPr>
          </w:p>
        </w:tc>
        <w:tc>
          <w:tcPr>
            <w:tcW w:w="324" w:type="dxa"/>
            <w:tcBorders>
              <w:top w:val="nil"/>
              <w:left w:val="nil"/>
              <w:bottom w:val="nil"/>
              <w:right w:val="nil"/>
            </w:tcBorders>
          </w:tcPr>
          <w:p w14:paraId="2A11B25D" w14:textId="77777777" w:rsidR="00F61D18" w:rsidRPr="00AD5EDA" w:rsidRDefault="00F61D18" w:rsidP="00175401">
            <w:pPr>
              <w:tabs>
                <w:tab w:val="left" w:pos="2410"/>
              </w:tabs>
              <w:jc w:val="both"/>
              <w:rPr>
                <w:rFonts w:ascii="Garamond" w:hAnsi="Garamond"/>
                <w:sz w:val="22"/>
                <w:u w:val="single"/>
                <w:lang w:val="nl-BE"/>
              </w:rPr>
            </w:pPr>
          </w:p>
        </w:tc>
        <w:tc>
          <w:tcPr>
            <w:tcW w:w="4463" w:type="dxa"/>
            <w:tcBorders>
              <w:top w:val="nil"/>
              <w:left w:val="nil"/>
              <w:bottom w:val="nil"/>
              <w:right w:val="nil"/>
            </w:tcBorders>
          </w:tcPr>
          <w:p w14:paraId="03F45090" w14:textId="77777777" w:rsidR="00F61D18" w:rsidRPr="00AD5EDA" w:rsidRDefault="00F61D18" w:rsidP="00175401">
            <w:pPr>
              <w:tabs>
                <w:tab w:val="left" w:pos="356"/>
                <w:tab w:val="left" w:pos="567"/>
                <w:tab w:val="left" w:pos="2268"/>
              </w:tabs>
              <w:jc w:val="both"/>
              <w:rPr>
                <w:rFonts w:ascii="Garamond" w:hAnsi="Garamond"/>
                <w:b/>
                <w:sz w:val="22"/>
                <w:highlight w:val="yellow"/>
                <w:lang w:val="nl-BE"/>
              </w:rPr>
            </w:pPr>
          </w:p>
        </w:tc>
      </w:tr>
      <w:tr w:rsidR="00F61D18" w:rsidRPr="00BA2D73" w14:paraId="387B66F8" w14:textId="77777777" w:rsidTr="0013508B">
        <w:tc>
          <w:tcPr>
            <w:tcW w:w="4496" w:type="dxa"/>
            <w:tcBorders>
              <w:top w:val="nil"/>
              <w:left w:val="nil"/>
              <w:bottom w:val="nil"/>
              <w:right w:val="nil"/>
            </w:tcBorders>
          </w:tcPr>
          <w:p w14:paraId="047B5DFC" w14:textId="4E61D493" w:rsidR="00F61D18" w:rsidRDefault="00F61D18" w:rsidP="00F61D18">
            <w:pPr>
              <w:tabs>
                <w:tab w:val="left" w:pos="356"/>
                <w:tab w:val="left" w:pos="567"/>
                <w:tab w:val="left" w:pos="2268"/>
              </w:tabs>
              <w:jc w:val="both"/>
              <w:rPr>
                <w:rFonts w:ascii="Garamond" w:hAnsi="Garamond"/>
                <w:sz w:val="22"/>
                <w:lang w:val="fr-BE"/>
              </w:rPr>
            </w:pPr>
            <w:r w:rsidRPr="00F61D18">
              <w:rPr>
                <w:rFonts w:ascii="Garamond" w:hAnsi="Garamond"/>
                <w:b/>
                <w:bCs/>
                <w:sz w:val="22"/>
                <w:lang w:val="fr-BE"/>
              </w:rPr>
              <w:t xml:space="preserve">Art. </w:t>
            </w:r>
            <w:r w:rsidR="00044F57">
              <w:rPr>
                <w:rFonts w:ascii="Garamond" w:hAnsi="Garamond"/>
                <w:b/>
                <w:bCs/>
                <w:sz w:val="22"/>
                <w:lang w:val="fr-BE"/>
              </w:rPr>
              <w:t>8</w:t>
            </w:r>
            <w:r w:rsidRPr="00F61D18">
              <w:rPr>
                <w:rFonts w:ascii="Garamond" w:hAnsi="Garamond"/>
                <w:sz w:val="22"/>
                <w:lang w:val="fr-BE"/>
              </w:rPr>
              <w:t>.</w:t>
            </w:r>
            <w:r w:rsidR="00BB06B6">
              <w:rPr>
                <w:rFonts w:ascii="Garamond" w:hAnsi="Garamond"/>
                <w:sz w:val="22"/>
                <w:lang w:val="fr-BE"/>
              </w:rPr>
              <w:t xml:space="preserve"> §1</w:t>
            </w:r>
            <w:r w:rsidR="00BB06B6" w:rsidRPr="00A3787E">
              <w:rPr>
                <w:rFonts w:ascii="Garamond" w:hAnsi="Garamond"/>
                <w:sz w:val="22"/>
                <w:vertAlign w:val="superscript"/>
                <w:lang w:val="fr-BE"/>
              </w:rPr>
              <w:t>er</w:t>
            </w:r>
            <w:r w:rsidR="00BB06B6">
              <w:rPr>
                <w:rFonts w:ascii="Garamond" w:hAnsi="Garamond"/>
                <w:sz w:val="22"/>
                <w:vertAlign w:val="superscript"/>
                <w:lang w:val="fr-BE"/>
              </w:rPr>
              <w:t>.</w:t>
            </w:r>
            <w:r w:rsidR="00BB06B6">
              <w:rPr>
                <w:rFonts w:ascii="Garamond" w:hAnsi="Garamond"/>
                <w:sz w:val="22"/>
                <w:lang w:val="fr-BE"/>
              </w:rPr>
              <w:t xml:space="preserve"> </w:t>
            </w:r>
            <w:r w:rsidRPr="00F61D18">
              <w:rPr>
                <w:rFonts w:ascii="Garamond" w:hAnsi="Garamond"/>
                <w:sz w:val="22"/>
                <w:lang w:val="fr-BE"/>
              </w:rPr>
              <w:t>Les membres de la Commission, les experts et les fonctionnaires du secrétariat sont tenus au secret professionnel et/ou médical pour toutes informations dont ils ont eu connaissance lors de l'exécution de leur mandat.</w:t>
            </w:r>
          </w:p>
          <w:p w14:paraId="1A24D8A8" w14:textId="77777777" w:rsidR="00A3787E" w:rsidRDefault="00A3787E" w:rsidP="00F61D18">
            <w:pPr>
              <w:tabs>
                <w:tab w:val="left" w:pos="356"/>
                <w:tab w:val="left" w:pos="567"/>
                <w:tab w:val="left" w:pos="2268"/>
              </w:tabs>
              <w:jc w:val="both"/>
              <w:rPr>
                <w:rFonts w:ascii="Garamond" w:hAnsi="Garamond"/>
                <w:sz w:val="22"/>
                <w:lang w:val="fr-BE"/>
              </w:rPr>
            </w:pPr>
          </w:p>
          <w:p w14:paraId="3926D824" w14:textId="14F895FC" w:rsidR="00BB06B6" w:rsidRPr="00F61D18" w:rsidRDefault="00BB06B6"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§2. </w:t>
            </w:r>
            <w:r w:rsidRPr="00BB06B6">
              <w:rPr>
                <w:rFonts w:ascii="Garamond" w:hAnsi="Garamond"/>
                <w:sz w:val="22"/>
                <w:lang w:val="fr-BE"/>
              </w:rPr>
              <w:t>Le Service s’engage à suivre le règlement (UE) 2016/679 du Parlement européen et du Conseil du 27 avril 2016 relatif à la protection des personnes physiques à l’égard du traitement des données à caractère personnel et à la libre circulation de ces données, et abrogeant la directive 95/46</w:t>
            </w:r>
            <w:r w:rsidR="00064E40">
              <w:rPr>
                <w:rFonts w:ascii="Garamond" w:hAnsi="Garamond"/>
                <w:sz w:val="22"/>
                <w:lang w:val="fr-BE"/>
              </w:rPr>
              <w:t>/</w:t>
            </w:r>
            <w:r w:rsidRPr="00BB06B6">
              <w:rPr>
                <w:rFonts w:ascii="Garamond" w:hAnsi="Garamond"/>
                <w:sz w:val="22"/>
                <w:lang w:val="fr-BE"/>
              </w:rPr>
              <w:t xml:space="preserve">CE  dans </w:t>
            </w:r>
            <w:r w:rsidRPr="00BB06B6">
              <w:rPr>
                <w:rFonts w:ascii="Garamond" w:hAnsi="Garamond"/>
                <w:sz w:val="22"/>
                <w:lang w:val="fr-BE"/>
              </w:rPr>
              <w:lastRenderedPageBreak/>
              <w:t xml:space="preserve">le cadre de la mise en œuvre et du contrôle du système de </w:t>
            </w:r>
            <w:proofErr w:type="spellStart"/>
            <w:r w:rsidRPr="00BB06B6">
              <w:rPr>
                <w:rFonts w:ascii="Garamond" w:hAnsi="Garamond"/>
                <w:sz w:val="22"/>
                <w:lang w:val="fr-BE"/>
              </w:rPr>
              <w:t>Nutrivigil</w:t>
            </w:r>
            <w:r>
              <w:rPr>
                <w:rFonts w:ascii="Garamond" w:hAnsi="Garamond"/>
                <w:sz w:val="22"/>
                <w:lang w:val="fr-BE"/>
              </w:rPr>
              <w:t>a</w:t>
            </w:r>
            <w:r w:rsidRPr="00BB06B6">
              <w:rPr>
                <w:rFonts w:ascii="Garamond" w:hAnsi="Garamond"/>
                <w:sz w:val="22"/>
                <w:lang w:val="fr-BE"/>
              </w:rPr>
              <w:t>nce</w:t>
            </w:r>
            <w:proofErr w:type="spellEnd"/>
            <w:r w:rsidRPr="00BB06B6">
              <w:rPr>
                <w:rFonts w:ascii="Garamond" w:hAnsi="Garamond"/>
                <w:sz w:val="22"/>
                <w:lang w:val="fr-BE"/>
              </w:rPr>
              <w:t>.</w:t>
            </w:r>
          </w:p>
        </w:tc>
        <w:tc>
          <w:tcPr>
            <w:tcW w:w="324" w:type="dxa"/>
            <w:tcBorders>
              <w:top w:val="nil"/>
              <w:left w:val="nil"/>
              <w:bottom w:val="nil"/>
              <w:right w:val="nil"/>
            </w:tcBorders>
          </w:tcPr>
          <w:p w14:paraId="223EA097" w14:textId="77777777" w:rsidR="00F61D18" w:rsidRPr="00F61D18" w:rsidRDefault="00F61D18"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7EAD84A1" w14:textId="77777777" w:rsidR="00F61D18" w:rsidRDefault="00AD5EDA" w:rsidP="00175401">
            <w:pPr>
              <w:tabs>
                <w:tab w:val="left" w:pos="356"/>
                <w:tab w:val="left" w:pos="567"/>
                <w:tab w:val="left" w:pos="2268"/>
              </w:tabs>
              <w:jc w:val="both"/>
              <w:rPr>
                <w:rFonts w:ascii="Garamond" w:hAnsi="Garamond"/>
                <w:bCs/>
                <w:sz w:val="22"/>
                <w:lang w:val="nl-BE"/>
              </w:rPr>
            </w:pPr>
            <w:r w:rsidRPr="00AD5EDA">
              <w:rPr>
                <w:rFonts w:ascii="Garamond" w:hAnsi="Garamond"/>
                <w:b/>
                <w:sz w:val="22"/>
                <w:lang w:val="nl-BE"/>
              </w:rPr>
              <w:t xml:space="preserve">Art. 8 </w:t>
            </w:r>
            <w:r w:rsidR="00BB06B6">
              <w:rPr>
                <w:rFonts w:ascii="Garamond" w:hAnsi="Garamond"/>
                <w:b/>
                <w:sz w:val="22"/>
                <w:lang w:val="nl-BE"/>
              </w:rPr>
              <w:t xml:space="preserve">§1. </w:t>
            </w:r>
            <w:r w:rsidRPr="00AD5EDA">
              <w:rPr>
                <w:rFonts w:ascii="Garamond" w:hAnsi="Garamond"/>
                <w:bCs/>
                <w:sz w:val="22"/>
                <w:lang w:val="nl-BE"/>
              </w:rPr>
              <w:t xml:space="preserve">De leden van de Commissie, de </w:t>
            </w:r>
            <w:r w:rsidRPr="00A3787E">
              <w:rPr>
                <w:rFonts w:ascii="Garamond" w:hAnsi="Garamond"/>
                <w:bCs/>
                <w:sz w:val="22"/>
                <w:lang w:val="nl-BE"/>
              </w:rPr>
              <w:t>deskundigen</w:t>
            </w:r>
            <w:r w:rsidRPr="00AD5EDA">
              <w:rPr>
                <w:rFonts w:ascii="Garamond" w:hAnsi="Garamond"/>
                <w:bCs/>
                <w:sz w:val="22"/>
                <w:lang w:val="nl-BE"/>
              </w:rPr>
              <w:t xml:space="preserve"> en de ambtenaren van het secretariaat zijn gebonden door het beroeps- en/of medisch geheim ten aanzien van alle gegevens waarvan zij uit hoofde van hun functie kennis hebben gekregen.</w:t>
            </w:r>
          </w:p>
          <w:p w14:paraId="57A38D95" w14:textId="1ABC7C00" w:rsidR="00BB06B6" w:rsidRPr="00AD5EDA" w:rsidRDefault="00BB06B6" w:rsidP="00175401">
            <w:pPr>
              <w:tabs>
                <w:tab w:val="left" w:pos="356"/>
                <w:tab w:val="left" w:pos="567"/>
                <w:tab w:val="left" w:pos="2268"/>
              </w:tabs>
              <w:jc w:val="both"/>
              <w:rPr>
                <w:rFonts w:ascii="Garamond" w:hAnsi="Garamond"/>
                <w:b/>
                <w:sz w:val="22"/>
                <w:highlight w:val="yellow"/>
                <w:lang w:val="nl-BE"/>
              </w:rPr>
            </w:pPr>
            <w:r>
              <w:rPr>
                <w:rFonts w:ascii="Garamond" w:hAnsi="Garamond"/>
                <w:bCs/>
                <w:sz w:val="22"/>
                <w:lang w:val="nl-BE"/>
              </w:rPr>
              <w:t xml:space="preserve">§2. </w:t>
            </w:r>
            <w:r w:rsidRPr="00BB06B6">
              <w:rPr>
                <w:rFonts w:ascii="Garamond" w:hAnsi="Garamond"/>
                <w:bCs/>
                <w:sz w:val="22"/>
                <w:lang w:val="nl-BE"/>
              </w:rPr>
              <w:t xml:space="preserve">De Dienst verbindt zich ertoe om Verordening (EU) 2016/679 van het Europees Parlement en de Raad van 27 april 2016 betreffende de bescherming van natuurlijke personen in verband met de verwerking van persoonsgegevens en betreffende het vrije verkeer van die gegevens en tot intrekking </w:t>
            </w:r>
            <w:r w:rsidRPr="00BB06B6">
              <w:rPr>
                <w:rFonts w:ascii="Garamond" w:hAnsi="Garamond"/>
                <w:bCs/>
                <w:sz w:val="22"/>
                <w:lang w:val="nl-BE"/>
              </w:rPr>
              <w:lastRenderedPageBreak/>
              <w:t xml:space="preserve">van Richtlijn 95/46/EG na te leven bij de uitvoering van en het toezicht op het systeem van </w:t>
            </w:r>
            <w:proofErr w:type="spellStart"/>
            <w:r w:rsidRPr="00BB06B6">
              <w:rPr>
                <w:rFonts w:ascii="Garamond" w:hAnsi="Garamond"/>
                <w:bCs/>
                <w:sz w:val="22"/>
                <w:lang w:val="nl-BE"/>
              </w:rPr>
              <w:t>Nutrivigilantie</w:t>
            </w:r>
            <w:proofErr w:type="spellEnd"/>
            <w:r w:rsidRPr="00BB06B6">
              <w:rPr>
                <w:rFonts w:ascii="Garamond" w:hAnsi="Garamond"/>
                <w:bCs/>
                <w:sz w:val="22"/>
                <w:lang w:val="nl-BE"/>
              </w:rPr>
              <w:t>.</w:t>
            </w:r>
          </w:p>
        </w:tc>
      </w:tr>
      <w:tr w:rsidR="00F61D18" w:rsidRPr="00BA2D73" w14:paraId="2926E651" w14:textId="77777777" w:rsidTr="0013508B">
        <w:tc>
          <w:tcPr>
            <w:tcW w:w="4496" w:type="dxa"/>
            <w:tcBorders>
              <w:top w:val="nil"/>
              <w:left w:val="nil"/>
              <w:bottom w:val="nil"/>
              <w:right w:val="nil"/>
            </w:tcBorders>
          </w:tcPr>
          <w:p w14:paraId="14A2F108" w14:textId="77777777" w:rsidR="00F61D18" w:rsidRPr="00AD5EDA" w:rsidRDefault="00F61D18" w:rsidP="00175401">
            <w:pPr>
              <w:tabs>
                <w:tab w:val="left" w:pos="356"/>
                <w:tab w:val="left" w:pos="567"/>
                <w:tab w:val="left" w:pos="2268"/>
              </w:tabs>
              <w:jc w:val="both"/>
              <w:rPr>
                <w:rFonts w:ascii="Garamond" w:hAnsi="Garamond"/>
                <w:sz w:val="22"/>
                <w:lang w:val="nl-BE"/>
              </w:rPr>
            </w:pPr>
          </w:p>
        </w:tc>
        <w:tc>
          <w:tcPr>
            <w:tcW w:w="324" w:type="dxa"/>
            <w:tcBorders>
              <w:top w:val="nil"/>
              <w:left w:val="nil"/>
              <w:bottom w:val="nil"/>
              <w:right w:val="nil"/>
            </w:tcBorders>
          </w:tcPr>
          <w:p w14:paraId="4A058849" w14:textId="77777777" w:rsidR="00F61D18" w:rsidRPr="00AD5EDA" w:rsidRDefault="00F61D18" w:rsidP="00175401">
            <w:pPr>
              <w:tabs>
                <w:tab w:val="left" w:pos="2410"/>
              </w:tabs>
              <w:jc w:val="both"/>
              <w:rPr>
                <w:rFonts w:ascii="Garamond" w:hAnsi="Garamond"/>
                <w:sz w:val="22"/>
                <w:u w:val="single"/>
                <w:lang w:val="nl-BE"/>
              </w:rPr>
            </w:pPr>
          </w:p>
        </w:tc>
        <w:tc>
          <w:tcPr>
            <w:tcW w:w="4463" w:type="dxa"/>
            <w:tcBorders>
              <w:top w:val="nil"/>
              <w:left w:val="nil"/>
              <w:bottom w:val="nil"/>
              <w:right w:val="nil"/>
            </w:tcBorders>
          </w:tcPr>
          <w:p w14:paraId="514A4431" w14:textId="77777777" w:rsidR="00F61D18" w:rsidRPr="00AD5EDA" w:rsidRDefault="00F61D18" w:rsidP="00175401">
            <w:pPr>
              <w:tabs>
                <w:tab w:val="left" w:pos="356"/>
                <w:tab w:val="left" w:pos="567"/>
                <w:tab w:val="left" w:pos="2268"/>
              </w:tabs>
              <w:jc w:val="both"/>
              <w:rPr>
                <w:rFonts w:ascii="Garamond" w:hAnsi="Garamond"/>
                <w:b/>
                <w:sz w:val="22"/>
                <w:highlight w:val="yellow"/>
                <w:lang w:val="nl-BE"/>
              </w:rPr>
            </w:pPr>
          </w:p>
        </w:tc>
      </w:tr>
      <w:tr w:rsidR="00F61D18" w:rsidRPr="00AD5EDA" w14:paraId="0850A7A9" w14:textId="77777777" w:rsidTr="0013508B">
        <w:tc>
          <w:tcPr>
            <w:tcW w:w="4496" w:type="dxa"/>
            <w:tcBorders>
              <w:top w:val="nil"/>
              <w:left w:val="nil"/>
              <w:bottom w:val="nil"/>
              <w:right w:val="nil"/>
            </w:tcBorders>
          </w:tcPr>
          <w:p w14:paraId="7CE73154" w14:textId="478E9B04" w:rsidR="00F61D18" w:rsidRDefault="00F61D18" w:rsidP="00F61D18">
            <w:pPr>
              <w:tabs>
                <w:tab w:val="left" w:pos="356"/>
                <w:tab w:val="left" w:pos="567"/>
                <w:tab w:val="left" w:pos="2268"/>
              </w:tabs>
              <w:jc w:val="both"/>
              <w:rPr>
                <w:rFonts w:ascii="Garamond" w:hAnsi="Garamond"/>
                <w:sz w:val="22"/>
                <w:lang w:val="fr-BE"/>
              </w:rPr>
            </w:pPr>
            <w:r w:rsidRPr="00044F57">
              <w:rPr>
                <w:rFonts w:ascii="Garamond" w:hAnsi="Garamond"/>
                <w:b/>
                <w:bCs/>
                <w:sz w:val="22"/>
                <w:lang w:val="fr-BE"/>
              </w:rPr>
              <w:t xml:space="preserve">Art. </w:t>
            </w:r>
            <w:r w:rsidR="00044F57" w:rsidRPr="00044F57">
              <w:rPr>
                <w:rFonts w:ascii="Garamond" w:hAnsi="Garamond"/>
                <w:b/>
                <w:bCs/>
                <w:sz w:val="22"/>
                <w:lang w:val="fr-BE"/>
              </w:rPr>
              <w:t>9</w:t>
            </w:r>
            <w:r w:rsidRPr="00044F57">
              <w:rPr>
                <w:rFonts w:ascii="Garamond" w:hAnsi="Garamond"/>
                <w:b/>
                <w:bCs/>
                <w:sz w:val="22"/>
                <w:lang w:val="fr-BE"/>
              </w:rPr>
              <w:t>.</w:t>
            </w:r>
            <w:r w:rsidRPr="00F61D18">
              <w:rPr>
                <w:rFonts w:ascii="Garamond" w:hAnsi="Garamond"/>
                <w:sz w:val="22"/>
                <w:lang w:val="fr-BE"/>
              </w:rPr>
              <w:t xml:space="preserve"> La Commission élabore son règlement d'ordre intérieur.</w:t>
            </w:r>
          </w:p>
          <w:p w14:paraId="44DDC584" w14:textId="77777777" w:rsidR="00044F57" w:rsidRPr="00F61D18" w:rsidRDefault="00044F57" w:rsidP="00F61D18">
            <w:pPr>
              <w:tabs>
                <w:tab w:val="left" w:pos="356"/>
                <w:tab w:val="left" w:pos="567"/>
                <w:tab w:val="left" w:pos="2268"/>
              </w:tabs>
              <w:jc w:val="both"/>
              <w:rPr>
                <w:rFonts w:ascii="Garamond" w:hAnsi="Garamond"/>
                <w:sz w:val="22"/>
                <w:lang w:val="fr-BE"/>
              </w:rPr>
            </w:pPr>
          </w:p>
          <w:p w14:paraId="4C5C6285" w14:textId="77777777" w:rsidR="00F61D18" w:rsidRPr="00F61D18" w:rsidRDefault="00F61D18" w:rsidP="00F61D18">
            <w:pPr>
              <w:tabs>
                <w:tab w:val="left" w:pos="356"/>
                <w:tab w:val="left" w:pos="567"/>
                <w:tab w:val="left" w:pos="2268"/>
              </w:tabs>
              <w:jc w:val="both"/>
              <w:rPr>
                <w:rFonts w:ascii="Garamond" w:hAnsi="Garamond"/>
                <w:sz w:val="22"/>
                <w:lang w:val="fr-BE"/>
              </w:rPr>
            </w:pPr>
            <w:r w:rsidRPr="00F61D18">
              <w:rPr>
                <w:rFonts w:ascii="Garamond" w:hAnsi="Garamond"/>
                <w:sz w:val="22"/>
                <w:lang w:val="fr-BE"/>
              </w:rPr>
              <w:t xml:space="preserve">Le règlement d'ordre intérieur contient au minimum : </w:t>
            </w:r>
          </w:p>
          <w:p w14:paraId="0F3C5DAA" w14:textId="04C8905D" w:rsid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1° </w:t>
            </w:r>
            <w:r w:rsidR="00F61D18" w:rsidRPr="00F61D18">
              <w:rPr>
                <w:rFonts w:ascii="Garamond" w:hAnsi="Garamond"/>
                <w:sz w:val="22"/>
                <w:lang w:val="fr-BE"/>
              </w:rPr>
              <w:t xml:space="preserve">les dispositions en matière de convocations ; </w:t>
            </w:r>
          </w:p>
          <w:p w14:paraId="1D56E3FA" w14:textId="77777777" w:rsidR="00A3787E" w:rsidRDefault="00A3787E" w:rsidP="00F61D18">
            <w:pPr>
              <w:tabs>
                <w:tab w:val="left" w:pos="356"/>
                <w:tab w:val="left" w:pos="567"/>
                <w:tab w:val="left" w:pos="2268"/>
              </w:tabs>
              <w:jc w:val="both"/>
              <w:rPr>
                <w:rFonts w:ascii="Garamond" w:hAnsi="Garamond"/>
                <w:sz w:val="22"/>
                <w:lang w:val="fr-BE"/>
              </w:rPr>
            </w:pPr>
          </w:p>
          <w:p w14:paraId="19E1F1F7" w14:textId="612173B3" w:rsidR="00F61D18" w:rsidRP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2° </w:t>
            </w:r>
            <w:r w:rsidR="00F61D18" w:rsidRPr="00F61D18">
              <w:rPr>
                <w:rFonts w:ascii="Garamond" w:hAnsi="Garamond"/>
                <w:sz w:val="22"/>
                <w:lang w:val="fr-BE"/>
              </w:rPr>
              <w:t>les dispositions  en matière de distribution des dossiers ;</w:t>
            </w:r>
          </w:p>
          <w:p w14:paraId="0C0C54D8" w14:textId="5A556A8B" w:rsid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3° </w:t>
            </w:r>
            <w:r w:rsidR="00F61D18" w:rsidRPr="00F61D18">
              <w:rPr>
                <w:rFonts w:ascii="Garamond" w:hAnsi="Garamond"/>
                <w:sz w:val="22"/>
                <w:lang w:val="fr-BE"/>
              </w:rPr>
              <w:t>les conditions  d’accession à la Commission ;</w:t>
            </w:r>
          </w:p>
          <w:p w14:paraId="19E53E20" w14:textId="77777777" w:rsidR="00A3787E" w:rsidRDefault="00A3787E" w:rsidP="00F61D18">
            <w:pPr>
              <w:tabs>
                <w:tab w:val="left" w:pos="356"/>
                <w:tab w:val="left" w:pos="567"/>
                <w:tab w:val="left" w:pos="2268"/>
              </w:tabs>
              <w:jc w:val="both"/>
              <w:rPr>
                <w:rFonts w:ascii="Garamond" w:hAnsi="Garamond"/>
                <w:sz w:val="22"/>
                <w:lang w:val="fr-BE"/>
              </w:rPr>
            </w:pPr>
          </w:p>
          <w:p w14:paraId="501F9A37" w14:textId="6930881E" w:rsidR="00F61D18" w:rsidRP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4° </w:t>
            </w:r>
            <w:r w:rsidR="00F61D18" w:rsidRPr="00F61D18">
              <w:rPr>
                <w:rFonts w:ascii="Garamond" w:hAnsi="Garamond"/>
                <w:sz w:val="22"/>
                <w:lang w:val="fr-BE"/>
              </w:rPr>
              <w:t xml:space="preserve">les dispositions en matière de délibérations ; </w:t>
            </w:r>
          </w:p>
          <w:p w14:paraId="676C0F36" w14:textId="68090704" w:rsidR="00F61D18" w:rsidRP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5° </w:t>
            </w:r>
            <w:r w:rsidR="00F61D18" w:rsidRPr="00F61D18">
              <w:rPr>
                <w:rFonts w:ascii="Garamond" w:hAnsi="Garamond"/>
                <w:sz w:val="22"/>
                <w:lang w:val="fr-BE"/>
              </w:rPr>
              <w:t xml:space="preserve">les conditions de démission ; </w:t>
            </w:r>
          </w:p>
          <w:p w14:paraId="36744178" w14:textId="25006ADE" w:rsidR="00EE073A" w:rsidRP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6° </w:t>
            </w:r>
            <w:r w:rsidR="00F61D18" w:rsidRPr="00F61D18">
              <w:rPr>
                <w:rFonts w:ascii="Garamond" w:hAnsi="Garamond"/>
                <w:sz w:val="22"/>
                <w:lang w:val="fr-BE"/>
              </w:rPr>
              <w:t xml:space="preserve">les conditions de participation de tiers aux réunions ; </w:t>
            </w:r>
          </w:p>
          <w:p w14:paraId="3E6414E3" w14:textId="0A8D0D1F" w:rsid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7° </w:t>
            </w:r>
            <w:r w:rsidR="00F61D18" w:rsidRPr="00F61D18">
              <w:rPr>
                <w:rFonts w:ascii="Garamond" w:hAnsi="Garamond"/>
                <w:sz w:val="22"/>
                <w:lang w:val="fr-BE"/>
              </w:rPr>
              <w:t xml:space="preserve">les dispositions concernant la procédure écrite ; </w:t>
            </w:r>
          </w:p>
          <w:p w14:paraId="603D1A47" w14:textId="77777777" w:rsidR="00A3787E" w:rsidRDefault="00A3787E" w:rsidP="00F61D18">
            <w:pPr>
              <w:tabs>
                <w:tab w:val="left" w:pos="356"/>
                <w:tab w:val="left" w:pos="567"/>
                <w:tab w:val="left" w:pos="2268"/>
              </w:tabs>
              <w:jc w:val="both"/>
              <w:rPr>
                <w:rFonts w:ascii="Garamond" w:hAnsi="Garamond"/>
                <w:sz w:val="22"/>
                <w:lang w:val="fr-BE"/>
              </w:rPr>
            </w:pPr>
          </w:p>
          <w:p w14:paraId="6A9D1D06" w14:textId="79F8E763" w:rsidR="00F61D18" w:rsidRPr="00F61D18" w:rsidRDefault="00044F57" w:rsidP="00F61D18">
            <w:pPr>
              <w:tabs>
                <w:tab w:val="left" w:pos="356"/>
                <w:tab w:val="left" w:pos="567"/>
                <w:tab w:val="left" w:pos="2268"/>
              </w:tabs>
              <w:jc w:val="both"/>
              <w:rPr>
                <w:rFonts w:ascii="Garamond" w:hAnsi="Garamond"/>
                <w:sz w:val="22"/>
                <w:lang w:val="fr-BE"/>
              </w:rPr>
            </w:pPr>
            <w:r>
              <w:rPr>
                <w:rFonts w:ascii="Garamond" w:hAnsi="Garamond"/>
                <w:sz w:val="22"/>
                <w:lang w:val="fr-BE"/>
              </w:rPr>
              <w:t xml:space="preserve">8° </w:t>
            </w:r>
            <w:r w:rsidR="00F61D18" w:rsidRPr="00F61D18">
              <w:rPr>
                <w:rFonts w:ascii="Garamond" w:hAnsi="Garamond"/>
                <w:sz w:val="22"/>
                <w:lang w:val="fr-BE"/>
              </w:rPr>
              <w:t>les dispositions en matière de conflit d'intérêt.</w:t>
            </w:r>
          </w:p>
        </w:tc>
        <w:tc>
          <w:tcPr>
            <w:tcW w:w="324" w:type="dxa"/>
            <w:tcBorders>
              <w:top w:val="nil"/>
              <w:left w:val="nil"/>
              <w:bottom w:val="nil"/>
              <w:right w:val="nil"/>
            </w:tcBorders>
          </w:tcPr>
          <w:p w14:paraId="286F63D8" w14:textId="77777777" w:rsidR="00F61D18" w:rsidRPr="00F61D18" w:rsidRDefault="00F61D18"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4B8646F4" w14:textId="27696777" w:rsidR="00AD5EDA" w:rsidRP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
                <w:sz w:val="22"/>
                <w:lang w:val="nl-BE"/>
              </w:rPr>
              <w:t xml:space="preserve">Art. 9 </w:t>
            </w:r>
            <w:r w:rsidRPr="00AD5EDA">
              <w:rPr>
                <w:rFonts w:ascii="Garamond" w:hAnsi="Garamond"/>
                <w:bCs/>
                <w:sz w:val="22"/>
                <w:lang w:val="nl-BE"/>
              </w:rPr>
              <w:t>De Commissie stelt haar</w:t>
            </w:r>
            <w:r w:rsidR="00EC0136">
              <w:rPr>
                <w:rFonts w:ascii="Garamond" w:hAnsi="Garamond"/>
                <w:bCs/>
                <w:sz w:val="22"/>
                <w:lang w:val="nl-BE"/>
              </w:rPr>
              <w:t xml:space="preserve"> huishoudelijk</w:t>
            </w:r>
            <w:r w:rsidRPr="00AD5EDA">
              <w:rPr>
                <w:rFonts w:ascii="Garamond" w:hAnsi="Garamond"/>
                <w:bCs/>
                <w:sz w:val="22"/>
                <w:lang w:val="nl-BE"/>
              </w:rPr>
              <w:t xml:space="preserve"> reglement vast.</w:t>
            </w:r>
          </w:p>
          <w:p w14:paraId="795CD0AF" w14:textId="77777777" w:rsidR="00AD5EDA" w:rsidRPr="00AD5EDA" w:rsidRDefault="00AD5EDA" w:rsidP="00AD5EDA">
            <w:pPr>
              <w:tabs>
                <w:tab w:val="left" w:pos="356"/>
                <w:tab w:val="left" w:pos="567"/>
                <w:tab w:val="left" w:pos="2268"/>
              </w:tabs>
              <w:jc w:val="both"/>
              <w:rPr>
                <w:rFonts w:ascii="Garamond" w:hAnsi="Garamond"/>
                <w:bCs/>
                <w:sz w:val="22"/>
                <w:lang w:val="nl-BE"/>
              </w:rPr>
            </w:pPr>
          </w:p>
          <w:p w14:paraId="78BEC5CD" w14:textId="3815E1FA" w:rsid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Cs/>
                <w:sz w:val="22"/>
                <w:lang w:val="nl-BE"/>
              </w:rPr>
              <w:t xml:space="preserve">Het </w:t>
            </w:r>
            <w:r w:rsidR="00EC0136">
              <w:rPr>
                <w:rFonts w:ascii="Garamond" w:hAnsi="Garamond"/>
                <w:bCs/>
                <w:sz w:val="22"/>
                <w:lang w:val="nl-BE"/>
              </w:rPr>
              <w:t xml:space="preserve">huishoudelijk </w:t>
            </w:r>
            <w:r w:rsidRPr="00AD5EDA">
              <w:rPr>
                <w:rFonts w:ascii="Garamond" w:hAnsi="Garamond"/>
                <w:bCs/>
                <w:sz w:val="22"/>
                <w:lang w:val="nl-BE"/>
              </w:rPr>
              <w:t xml:space="preserve">reglement bevat ten minste: </w:t>
            </w:r>
          </w:p>
          <w:p w14:paraId="3A8B159A" w14:textId="77777777" w:rsidR="00A3787E" w:rsidRPr="00AD5EDA" w:rsidRDefault="00A3787E" w:rsidP="00AD5EDA">
            <w:pPr>
              <w:tabs>
                <w:tab w:val="left" w:pos="356"/>
                <w:tab w:val="left" w:pos="567"/>
                <w:tab w:val="left" w:pos="2268"/>
              </w:tabs>
              <w:jc w:val="both"/>
              <w:rPr>
                <w:rFonts w:ascii="Garamond" w:hAnsi="Garamond"/>
                <w:bCs/>
                <w:sz w:val="22"/>
                <w:lang w:val="nl-BE"/>
              </w:rPr>
            </w:pPr>
          </w:p>
          <w:p w14:paraId="49B74FF8" w14:textId="3A7CB0F5" w:rsidR="00AD5EDA" w:rsidRP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Cs/>
                <w:sz w:val="22"/>
                <w:lang w:val="nl-BE"/>
              </w:rPr>
              <w:t>1° bepalingen inzake de bijeenroeping van vergaderingen</w:t>
            </w:r>
            <w:r>
              <w:rPr>
                <w:rFonts w:ascii="Garamond" w:hAnsi="Garamond"/>
                <w:bCs/>
                <w:sz w:val="22"/>
                <w:lang w:val="nl-BE"/>
              </w:rPr>
              <w:t>;</w:t>
            </w:r>
          </w:p>
          <w:p w14:paraId="1883B8BC" w14:textId="2974BD65" w:rsid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Cs/>
                <w:sz w:val="22"/>
                <w:lang w:val="nl-BE"/>
              </w:rPr>
              <w:t xml:space="preserve">2° bepalingen inzake de verspreiding van </w:t>
            </w:r>
            <w:r w:rsidR="006C6E7F">
              <w:rPr>
                <w:rFonts w:ascii="Garamond" w:hAnsi="Garamond"/>
                <w:bCs/>
                <w:sz w:val="22"/>
                <w:lang w:val="nl-BE"/>
              </w:rPr>
              <w:t>dossiers</w:t>
            </w:r>
            <w:r>
              <w:rPr>
                <w:rFonts w:ascii="Garamond" w:hAnsi="Garamond"/>
                <w:bCs/>
                <w:sz w:val="22"/>
                <w:lang w:val="nl-BE"/>
              </w:rPr>
              <w:t>;</w:t>
            </w:r>
          </w:p>
          <w:p w14:paraId="7E92A1C8" w14:textId="77777777" w:rsidR="00A3787E" w:rsidRPr="00AD5EDA" w:rsidRDefault="00A3787E" w:rsidP="00AD5EDA">
            <w:pPr>
              <w:tabs>
                <w:tab w:val="left" w:pos="356"/>
                <w:tab w:val="left" w:pos="567"/>
                <w:tab w:val="left" w:pos="2268"/>
              </w:tabs>
              <w:jc w:val="both"/>
              <w:rPr>
                <w:rFonts w:ascii="Garamond" w:hAnsi="Garamond"/>
                <w:bCs/>
                <w:sz w:val="22"/>
                <w:lang w:val="nl-BE"/>
              </w:rPr>
            </w:pPr>
          </w:p>
          <w:p w14:paraId="1052BD65" w14:textId="21D7AAF8" w:rsidR="00AD5EDA" w:rsidRP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Cs/>
                <w:sz w:val="22"/>
                <w:lang w:val="nl-BE"/>
              </w:rPr>
              <w:t>3° de voorwaarden voor toetreding tot de Commissie</w:t>
            </w:r>
            <w:r>
              <w:rPr>
                <w:rFonts w:ascii="Garamond" w:hAnsi="Garamond"/>
                <w:bCs/>
                <w:sz w:val="22"/>
                <w:lang w:val="nl-BE"/>
              </w:rPr>
              <w:t>;</w:t>
            </w:r>
          </w:p>
          <w:p w14:paraId="51388EE7" w14:textId="07DE07EF" w:rsidR="00AD5EDA" w:rsidRP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Cs/>
                <w:sz w:val="22"/>
                <w:lang w:val="nl-BE"/>
              </w:rPr>
              <w:t>4° bepalingen inzake beraadslagingen</w:t>
            </w:r>
            <w:r>
              <w:rPr>
                <w:rFonts w:ascii="Garamond" w:hAnsi="Garamond"/>
                <w:bCs/>
                <w:sz w:val="22"/>
                <w:lang w:val="nl-BE"/>
              </w:rPr>
              <w:t>;</w:t>
            </w:r>
          </w:p>
          <w:p w14:paraId="01CF0B23" w14:textId="77777777" w:rsidR="00AD5EDA" w:rsidRP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Cs/>
                <w:sz w:val="22"/>
                <w:lang w:val="nl-BE"/>
              </w:rPr>
              <w:t xml:space="preserve">5° de voorwaarden voor ontslag; </w:t>
            </w:r>
          </w:p>
          <w:p w14:paraId="7EEB01AC" w14:textId="0BC26863" w:rsidR="00AD5EDA" w:rsidRP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Cs/>
                <w:sz w:val="22"/>
                <w:lang w:val="nl-BE"/>
              </w:rPr>
              <w:t xml:space="preserve">6° </w:t>
            </w:r>
            <w:r w:rsidR="006C6E7F">
              <w:rPr>
                <w:rFonts w:ascii="Garamond" w:hAnsi="Garamond"/>
                <w:bCs/>
                <w:sz w:val="22"/>
                <w:lang w:val="nl-BE"/>
              </w:rPr>
              <w:t xml:space="preserve">de </w:t>
            </w:r>
            <w:r w:rsidRPr="00AD5EDA">
              <w:rPr>
                <w:rFonts w:ascii="Garamond" w:hAnsi="Garamond"/>
                <w:bCs/>
                <w:sz w:val="22"/>
                <w:lang w:val="nl-BE"/>
              </w:rPr>
              <w:t>voorwaarden voor de deelname van derden aan vergaderingen</w:t>
            </w:r>
            <w:r>
              <w:rPr>
                <w:rFonts w:ascii="Garamond" w:hAnsi="Garamond"/>
                <w:bCs/>
                <w:sz w:val="22"/>
                <w:lang w:val="nl-BE"/>
              </w:rPr>
              <w:t>;</w:t>
            </w:r>
          </w:p>
          <w:p w14:paraId="18AC1A07" w14:textId="4C172BCA" w:rsidR="00AD5EDA" w:rsidRPr="00AD5EDA" w:rsidRDefault="00AD5EDA" w:rsidP="00AD5EDA">
            <w:pPr>
              <w:tabs>
                <w:tab w:val="left" w:pos="356"/>
                <w:tab w:val="left" w:pos="567"/>
                <w:tab w:val="left" w:pos="2268"/>
              </w:tabs>
              <w:jc w:val="both"/>
              <w:rPr>
                <w:rFonts w:ascii="Garamond" w:hAnsi="Garamond"/>
                <w:bCs/>
                <w:sz w:val="22"/>
                <w:lang w:val="nl-BE"/>
              </w:rPr>
            </w:pPr>
            <w:r w:rsidRPr="00AD5EDA">
              <w:rPr>
                <w:rFonts w:ascii="Garamond" w:hAnsi="Garamond"/>
                <w:bCs/>
                <w:sz w:val="22"/>
                <w:lang w:val="nl-BE"/>
              </w:rPr>
              <w:t>7° bepalingen betreffende de schriftelijke procedure</w:t>
            </w:r>
            <w:r>
              <w:rPr>
                <w:rFonts w:ascii="Garamond" w:hAnsi="Garamond"/>
                <w:bCs/>
                <w:sz w:val="22"/>
                <w:lang w:val="nl-BE"/>
              </w:rPr>
              <w:t>;</w:t>
            </w:r>
          </w:p>
          <w:p w14:paraId="54562830" w14:textId="1D6F305F" w:rsidR="00F61D18" w:rsidRPr="00AD5EDA" w:rsidRDefault="00AD5EDA" w:rsidP="00AD5EDA">
            <w:pPr>
              <w:tabs>
                <w:tab w:val="left" w:pos="356"/>
                <w:tab w:val="left" w:pos="567"/>
                <w:tab w:val="left" w:pos="2268"/>
              </w:tabs>
              <w:jc w:val="both"/>
              <w:rPr>
                <w:rFonts w:ascii="Garamond" w:hAnsi="Garamond"/>
                <w:b/>
                <w:sz w:val="22"/>
                <w:highlight w:val="yellow"/>
                <w:lang w:val="nl-BE"/>
              </w:rPr>
            </w:pPr>
            <w:r w:rsidRPr="00AD5EDA">
              <w:rPr>
                <w:rFonts w:ascii="Garamond" w:hAnsi="Garamond"/>
                <w:bCs/>
                <w:sz w:val="22"/>
                <w:lang w:val="nl-BE"/>
              </w:rPr>
              <w:t>8° bepalingen inzake belangenconflicten.</w:t>
            </w:r>
          </w:p>
        </w:tc>
      </w:tr>
      <w:tr w:rsidR="00F61D18" w:rsidRPr="00AD5EDA" w14:paraId="70EF61F7" w14:textId="77777777" w:rsidTr="0013508B">
        <w:tc>
          <w:tcPr>
            <w:tcW w:w="4496" w:type="dxa"/>
            <w:tcBorders>
              <w:top w:val="nil"/>
              <w:left w:val="nil"/>
              <w:bottom w:val="nil"/>
              <w:right w:val="nil"/>
            </w:tcBorders>
          </w:tcPr>
          <w:p w14:paraId="5045303A" w14:textId="77777777" w:rsidR="00F61D18" w:rsidRPr="00AD5EDA" w:rsidRDefault="00F61D18" w:rsidP="00175401">
            <w:pPr>
              <w:tabs>
                <w:tab w:val="left" w:pos="356"/>
                <w:tab w:val="left" w:pos="567"/>
                <w:tab w:val="left" w:pos="2268"/>
              </w:tabs>
              <w:jc w:val="both"/>
              <w:rPr>
                <w:rFonts w:ascii="Garamond" w:hAnsi="Garamond"/>
                <w:sz w:val="22"/>
                <w:lang w:val="nl-BE"/>
              </w:rPr>
            </w:pPr>
          </w:p>
        </w:tc>
        <w:tc>
          <w:tcPr>
            <w:tcW w:w="324" w:type="dxa"/>
            <w:tcBorders>
              <w:top w:val="nil"/>
              <w:left w:val="nil"/>
              <w:bottom w:val="nil"/>
              <w:right w:val="nil"/>
            </w:tcBorders>
          </w:tcPr>
          <w:p w14:paraId="0957F345" w14:textId="77777777" w:rsidR="00F61D18" w:rsidRPr="00AD5EDA" w:rsidRDefault="00F61D18" w:rsidP="00175401">
            <w:pPr>
              <w:tabs>
                <w:tab w:val="left" w:pos="2410"/>
              </w:tabs>
              <w:jc w:val="both"/>
              <w:rPr>
                <w:rFonts w:ascii="Garamond" w:hAnsi="Garamond"/>
                <w:sz w:val="22"/>
                <w:u w:val="single"/>
                <w:lang w:val="nl-BE"/>
              </w:rPr>
            </w:pPr>
          </w:p>
        </w:tc>
        <w:tc>
          <w:tcPr>
            <w:tcW w:w="4463" w:type="dxa"/>
            <w:tcBorders>
              <w:top w:val="nil"/>
              <w:left w:val="nil"/>
              <w:bottom w:val="nil"/>
              <w:right w:val="nil"/>
            </w:tcBorders>
          </w:tcPr>
          <w:p w14:paraId="0E1C5B83" w14:textId="77777777" w:rsidR="00F61D18" w:rsidRPr="00AD5EDA" w:rsidRDefault="00F61D18" w:rsidP="00175401">
            <w:pPr>
              <w:tabs>
                <w:tab w:val="left" w:pos="356"/>
                <w:tab w:val="left" w:pos="567"/>
                <w:tab w:val="left" w:pos="2268"/>
              </w:tabs>
              <w:jc w:val="both"/>
              <w:rPr>
                <w:rFonts w:ascii="Garamond" w:hAnsi="Garamond"/>
                <w:b/>
                <w:sz w:val="22"/>
                <w:highlight w:val="yellow"/>
                <w:lang w:val="nl-BE"/>
              </w:rPr>
            </w:pPr>
          </w:p>
        </w:tc>
      </w:tr>
      <w:tr w:rsidR="00F61D18" w:rsidRPr="00BA2D73" w14:paraId="1B741C2E" w14:textId="77777777" w:rsidTr="0013508B">
        <w:tc>
          <w:tcPr>
            <w:tcW w:w="4496" w:type="dxa"/>
            <w:tcBorders>
              <w:top w:val="nil"/>
              <w:left w:val="nil"/>
              <w:bottom w:val="nil"/>
              <w:right w:val="nil"/>
            </w:tcBorders>
          </w:tcPr>
          <w:p w14:paraId="11FF3015" w14:textId="4D9F7E55" w:rsidR="00F61D18" w:rsidRPr="00F61D18" w:rsidRDefault="00F61D18" w:rsidP="00044F57">
            <w:pPr>
              <w:tabs>
                <w:tab w:val="left" w:pos="356"/>
                <w:tab w:val="left" w:pos="567"/>
                <w:tab w:val="left" w:pos="2268"/>
              </w:tabs>
              <w:jc w:val="both"/>
              <w:rPr>
                <w:rFonts w:ascii="Garamond" w:hAnsi="Garamond"/>
                <w:sz w:val="22"/>
                <w:lang w:val="fr-BE"/>
              </w:rPr>
            </w:pPr>
            <w:r w:rsidRPr="00044F57">
              <w:rPr>
                <w:rFonts w:ascii="Garamond" w:hAnsi="Garamond"/>
                <w:b/>
                <w:bCs/>
                <w:sz w:val="22"/>
                <w:lang w:val="fr-BE"/>
              </w:rPr>
              <w:t xml:space="preserve">Art. </w:t>
            </w:r>
            <w:r w:rsidR="00044F57" w:rsidRPr="00044F57">
              <w:rPr>
                <w:rFonts w:ascii="Garamond" w:hAnsi="Garamond"/>
                <w:b/>
                <w:bCs/>
                <w:sz w:val="22"/>
                <w:lang w:val="fr-BE"/>
              </w:rPr>
              <w:t>10</w:t>
            </w:r>
            <w:r w:rsidRPr="00F61D18">
              <w:rPr>
                <w:rFonts w:ascii="Garamond" w:hAnsi="Garamond"/>
                <w:sz w:val="22"/>
                <w:lang w:val="fr-BE"/>
              </w:rPr>
              <w:t>. Les experts</w:t>
            </w:r>
            <w:r w:rsidR="00044F57">
              <w:rPr>
                <w:rFonts w:ascii="Garamond" w:hAnsi="Garamond"/>
                <w:sz w:val="22"/>
                <w:lang w:val="fr-BE"/>
              </w:rPr>
              <w:t>,</w:t>
            </w:r>
            <w:r w:rsidRPr="00F61D18">
              <w:rPr>
                <w:rFonts w:ascii="Garamond" w:hAnsi="Garamond"/>
                <w:sz w:val="22"/>
                <w:lang w:val="fr-BE"/>
              </w:rPr>
              <w:t xml:space="preserve"> membres ou non</w:t>
            </w:r>
            <w:r w:rsidR="00044F57">
              <w:rPr>
                <w:rFonts w:ascii="Garamond" w:hAnsi="Garamond"/>
                <w:sz w:val="22"/>
                <w:lang w:val="fr-BE"/>
              </w:rPr>
              <w:t xml:space="preserve">, </w:t>
            </w:r>
            <w:r w:rsidRPr="00F61D18">
              <w:rPr>
                <w:rFonts w:ascii="Garamond" w:hAnsi="Garamond"/>
                <w:sz w:val="22"/>
                <w:lang w:val="fr-BE"/>
              </w:rPr>
              <w:t xml:space="preserve">sont tenus de donner une conclusion pour leur dossier dans un délai de deux semaines. La Commission se réunit à la demande </w:t>
            </w:r>
            <w:r w:rsidR="00044F57">
              <w:rPr>
                <w:rFonts w:ascii="Garamond" w:hAnsi="Garamond"/>
                <w:sz w:val="22"/>
                <w:lang w:val="fr-BE"/>
              </w:rPr>
              <w:t>du Service</w:t>
            </w:r>
            <w:r w:rsidRPr="00F61D18">
              <w:rPr>
                <w:rFonts w:ascii="Garamond" w:hAnsi="Garamond"/>
                <w:sz w:val="22"/>
                <w:lang w:val="fr-BE"/>
              </w:rPr>
              <w:t xml:space="preserve"> et selon les fréquences fixées par les dispositions du règlement d'ordre intérieur visé à l'article </w:t>
            </w:r>
            <w:r w:rsidR="00044F57">
              <w:rPr>
                <w:rFonts w:ascii="Garamond" w:hAnsi="Garamond"/>
                <w:sz w:val="22"/>
                <w:lang w:val="fr-BE"/>
              </w:rPr>
              <w:t>9</w:t>
            </w:r>
            <w:r w:rsidRPr="00F61D18">
              <w:rPr>
                <w:rFonts w:ascii="Garamond" w:hAnsi="Garamond"/>
                <w:sz w:val="22"/>
                <w:lang w:val="fr-BE"/>
              </w:rPr>
              <w:t>.</w:t>
            </w:r>
          </w:p>
        </w:tc>
        <w:tc>
          <w:tcPr>
            <w:tcW w:w="324" w:type="dxa"/>
            <w:tcBorders>
              <w:top w:val="nil"/>
              <w:left w:val="nil"/>
              <w:bottom w:val="nil"/>
              <w:right w:val="nil"/>
            </w:tcBorders>
          </w:tcPr>
          <w:p w14:paraId="05E46056" w14:textId="77777777" w:rsidR="00F61D18" w:rsidRPr="00F61D18" w:rsidRDefault="00F61D18"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25507A64" w14:textId="62EF1974" w:rsidR="00F61D18" w:rsidRPr="00AD5EDA" w:rsidRDefault="00AD5EDA" w:rsidP="00175401">
            <w:pPr>
              <w:tabs>
                <w:tab w:val="left" w:pos="356"/>
                <w:tab w:val="left" w:pos="567"/>
                <w:tab w:val="left" w:pos="2268"/>
              </w:tabs>
              <w:jc w:val="both"/>
              <w:rPr>
                <w:rFonts w:ascii="Garamond" w:hAnsi="Garamond"/>
                <w:b/>
                <w:sz w:val="22"/>
                <w:highlight w:val="yellow"/>
                <w:lang w:val="nl-BE"/>
              </w:rPr>
            </w:pPr>
            <w:r w:rsidRPr="00AD5EDA">
              <w:rPr>
                <w:rFonts w:ascii="Garamond" w:hAnsi="Garamond"/>
                <w:b/>
                <w:sz w:val="22"/>
                <w:lang w:val="nl-BE"/>
              </w:rPr>
              <w:t xml:space="preserve">Art. 10. </w:t>
            </w:r>
            <w:r w:rsidRPr="00AD5EDA">
              <w:rPr>
                <w:rFonts w:ascii="Garamond" w:hAnsi="Garamond"/>
                <w:bCs/>
                <w:sz w:val="22"/>
                <w:lang w:val="nl-BE"/>
              </w:rPr>
              <w:t xml:space="preserve">De </w:t>
            </w:r>
            <w:r w:rsidRPr="00A3787E">
              <w:rPr>
                <w:rFonts w:ascii="Garamond" w:hAnsi="Garamond"/>
                <w:bCs/>
                <w:sz w:val="22"/>
                <w:lang w:val="nl-BE"/>
              </w:rPr>
              <w:t>deskundigen</w:t>
            </w:r>
            <w:r w:rsidRPr="00AD5EDA">
              <w:rPr>
                <w:rFonts w:ascii="Garamond" w:hAnsi="Garamond"/>
                <w:bCs/>
                <w:sz w:val="22"/>
                <w:lang w:val="nl-BE"/>
              </w:rPr>
              <w:t xml:space="preserve">, al dan niet leden, moeten binnen </w:t>
            </w:r>
            <w:r w:rsidR="006C6E7F">
              <w:rPr>
                <w:rFonts w:ascii="Garamond" w:hAnsi="Garamond"/>
                <w:bCs/>
                <w:sz w:val="22"/>
                <w:lang w:val="nl-BE"/>
              </w:rPr>
              <w:t xml:space="preserve">een termijn van </w:t>
            </w:r>
            <w:r w:rsidRPr="00AD5EDA">
              <w:rPr>
                <w:rFonts w:ascii="Garamond" w:hAnsi="Garamond"/>
                <w:bCs/>
                <w:sz w:val="22"/>
                <w:lang w:val="nl-BE"/>
              </w:rPr>
              <w:t xml:space="preserve">twee weken een conclusie over hun zaak geven. De Commissie komt bijeen op verzoek van de </w:t>
            </w:r>
            <w:r w:rsidR="006C6E7F">
              <w:rPr>
                <w:rFonts w:ascii="Garamond" w:hAnsi="Garamond"/>
                <w:bCs/>
                <w:sz w:val="22"/>
                <w:lang w:val="nl-BE"/>
              </w:rPr>
              <w:t>D</w:t>
            </w:r>
            <w:r w:rsidRPr="00AD5EDA">
              <w:rPr>
                <w:rFonts w:ascii="Garamond" w:hAnsi="Garamond"/>
                <w:bCs/>
                <w:sz w:val="22"/>
                <w:lang w:val="nl-BE"/>
              </w:rPr>
              <w:t xml:space="preserve">ienst en met de frequentie die is vastgesteld in het in artikel 9 bedoelde </w:t>
            </w:r>
            <w:r w:rsidR="00EC0136">
              <w:rPr>
                <w:rFonts w:ascii="Garamond" w:hAnsi="Garamond"/>
                <w:bCs/>
                <w:sz w:val="22"/>
                <w:lang w:val="nl-BE"/>
              </w:rPr>
              <w:t xml:space="preserve">huishoudelijk </w:t>
            </w:r>
            <w:r w:rsidRPr="00AD5EDA">
              <w:rPr>
                <w:rFonts w:ascii="Garamond" w:hAnsi="Garamond"/>
                <w:bCs/>
                <w:sz w:val="22"/>
                <w:lang w:val="nl-BE"/>
              </w:rPr>
              <w:t>reglement.</w:t>
            </w:r>
          </w:p>
        </w:tc>
      </w:tr>
      <w:tr w:rsidR="00F61D18" w:rsidRPr="00BA2D73" w14:paraId="3DB5EB80" w14:textId="77777777" w:rsidTr="0013508B">
        <w:tc>
          <w:tcPr>
            <w:tcW w:w="4496" w:type="dxa"/>
            <w:tcBorders>
              <w:top w:val="nil"/>
              <w:left w:val="nil"/>
              <w:bottom w:val="nil"/>
              <w:right w:val="nil"/>
            </w:tcBorders>
          </w:tcPr>
          <w:p w14:paraId="672A41CC" w14:textId="77777777" w:rsidR="00F61D18" w:rsidRPr="00AD5EDA" w:rsidRDefault="00F61D18" w:rsidP="00175401">
            <w:pPr>
              <w:tabs>
                <w:tab w:val="left" w:pos="356"/>
                <w:tab w:val="left" w:pos="567"/>
                <w:tab w:val="left" w:pos="2268"/>
              </w:tabs>
              <w:jc w:val="both"/>
              <w:rPr>
                <w:rFonts w:ascii="Garamond" w:hAnsi="Garamond"/>
                <w:sz w:val="22"/>
                <w:lang w:val="nl-BE"/>
              </w:rPr>
            </w:pPr>
          </w:p>
        </w:tc>
        <w:tc>
          <w:tcPr>
            <w:tcW w:w="324" w:type="dxa"/>
            <w:tcBorders>
              <w:top w:val="nil"/>
              <w:left w:val="nil"/>
              <w:bottom w:val="nil"/>
              <w:right w:val="nil"/>
            </w:tcBorders>
          </w:tcPr>
          <w:p w14:paraId="5B2B14B6" w14:textId="77777777" w:rsidR="00F61D18" w:rsidRPr="00AD5EDA" w:rsidRDefault="00F61D18" w:rsidP="00175401">
            <w:pPr>
              <w:tabs>
                <w:tab w:val="left" w:pos="2410"/>
              </w:tabs>
              <w:jc w:val="both"/>
              <w:rPr>
                <w:rFonts w:ascii="Garamond" w:hAnsi="Garamond"/>
                <w:sz w:val="22"/>
                <w:u w:val="single"/>
                <w:lang w:val="nl-BE"/>
              </w:rPr>
            </w:pPr>
          </w:p>
        </w:tc>
        <w:tc>
          <w:tcPr>
            <w:tcW w:w="4463" w:type="dxa"/>
            <w:tcBorders>
              <w:top w:val="nil"/>
              <w:left w:val="nil"/>
              <w:bottom w:val="nil"/>
              <w:right w:val="nil"/>
            </w:tcBorders>
          </w:tcPr>
          <w:p w14:paraId="1EC66FA6" w14:textId="77777777" w:rsidR="00F61D18" w:rsidRPr="00AD5EDA" w:rsidRDefault="00F61D18" w:rsidP="00175401">
            <w:pPr>
              <w:tabs>
                <w:tab w:val="left" w:pos="356"/>
                <w:tab w:val="left" w:pos="567"/>
                <w:tab w:val="left" w:pos="2268"/>
              </w:tabs>
              <w:jc w:val="both"/>
              <w:rPr>
                <w:rFonts w:ascii="Garamond" w:hAnsi="Garamond"/>
                <w:b/>
                <w:sz w:val="22"/>
                <w:highlight w:val="yellow"/>
                <w:lang w:val="nl-BE"/>
              </w:rPr>
            </w:pPr>
          </w:p>
        </w:tc>
      </w:tr>
      <w:tr w:rsidR="00175401" w:rsidRPr="00BA2D73" w14:paraId="4AA65558" w14:textId="77777777" w:rsidTr="0013508B">
        <w:tc>
          <w:tcPr>
            <w:tcW w:w="4496" w:type="dxa"/>
            <w:tcBorders>
              <w:top w:val="nil"/>
              <w:left w:val="nil"/>
              <w:bottom w:val="nil"/>
              <w:right w:val="nil"/>
            </w:tcBorders>
          </w:tcPr>
          <w:p w14:paraId="3F48C6D0" w14:textId="77777777" w:rsidR="008C04D8" w:rsidRPr="00A3787E" w:rsidRDefault="008C04D8" w:rsidP="00175401">
            <w:pPr>
              <w:tabs>
                <w:tab w:val="left" w:pos="356"/>
                <w:tab w:val="left" w:pos="2268"/>
              </w:tabs>
              <w:jc w:val="both"/>
              <w:rPr>
                <w:rFonts w:ascii="Garamond" w:hAnsi="Garamond"/>
                <w:b/>
                <w:sz w:val="22"/>
                <w:lang w:val="nl-BE"/>
              </w:rPr>
            </w:pPr>
          </w:p>
          <w:p w14:paraId="265A9167" w14:textId="77777777" w:rsidR="008C04D8" w:rsidRPr="00A3787E" w:rsidRDefault="008C04D8" w:rsidP="00175401">
            <w:pPr>
              <w:tabs>
                <w:tab w:val="left" w:pos="356"/>
                <w:tab w:val="left" w:pos="2268"/>
              </w:tabs>
              <w:jc w:val="both"/>
              <w:rPr>
                <w:rFonts w:ascii="Garamond" w:hAnsi="Garamond"/>
                <w:b/>
                <w:sz w:val="22"/>
                <w:lang w:val="nl-BE"/>
              </w:rPr>
            </w:pPr>
          </w:p>
          <w:p w14:paraId="4EC3E603" w14:textId="77777777" w:rsidR="008C04D8" w:rsidRPr="00A3787E" w:rsidRDefault="008C04D8" w:rsidP="00175401">
            <w:pPr>
              <w:tabs>
                <w:tab w:val="left" w:pos="356"/>
                <w:tab w:val="left" w:pos="2268"/>
              </w:tabs>
              <w:jc w:val="both"/>
              <w:rPr>
                <w:rFonts w:ascii="Garamond" w:hAnsi="Garamond"/>
                <w:b/>
                <w:sz w:val="22"/>
                <w:lang w:val="nl-BE"/>
              </w:rPr>
            </w:pPr>
          </w:p>
          <w:p w14:paraId="7C4F1E18" w14:textId="1F9EB326" w:rsidR="008C04D8" w:rsidRDefault="008C04D8" w:rsidP="00175401">
            <w:pPr>
              <w:tabs>
                <w:tab w:val="left" w:pos="356"/>
                <w:tab w:val="left" w:pos="2268"/>
              </w:tabs>
              <w:jc w:val="both"/>
              <w:rPr>
                <w:rFonts w:ascii="Garamond" w:hAnsi="Garamond"/>
                <w:b/>
                <w:sz w:val="22"/>
                <w:lang w:val="nl-BE"/>
              </w:rPr>
            </w:pPr>
          </w:p>
          <w:p w14:paraId="264B810A" w14:textId="39A21401" w:rsidR="00064E40" w:rsidRDefault="00064E40" w:rsidP="00175401">
            <w:pPr>
              <w:tabs>
                <w:tab w:val="left" w:pos="356"/>
                <w:tab w:val="left" w:pos="2268"/>
              </w:tabs>
              <w:jc w:val="both"/>
              <w:rPr>
                <w:rFonts w:ascii="Garamond" w:hAnsi="Garamond"/>
                <w:b/>
                <w:sz w:val="22"/>
                <w:lang w:val="nl-BE"/>
              </w:rPr>
            </w:pPr>
          </w:p>
          <w:p w14:paraId="19E64D1F" w14:textId="3329612C" w:rsidR="00064E40" w:rsidRDefault="00064E40" w:rsidP="00175401">
            <w:pPr>
              <w:tabs>
                <w:tab w:val="left" w:pos="356"/>
                <w:tab w:val="left" w:pos="2268"/>
              </w:tabs>
              <w:jc w:val="both"/>
              <w:rPr>
                <w:rFonts w:ascii="Garamond" w:hAnsi="Garamond"/>
                <w:b/>
                <w:sz w:val="22"/>
                <w:lang w:val="nl-BE"/>
              </w:rPr>
            </w:pPr>
          </w:p>
          <w:p w14:paraId="5581B6B1" w14:textId="6C4A78BE" w:rsidR="00064E40" w:rsidRDefault="00064E40" w:rsidP="00175401">
            <w:pPr>
              <w:tabs>
                <w:tab w:val="left" w:pos="356"/>
                <w:tab w:val="left" w:pos="2268"/>
              </w:tabs>
              <w:jc w:val="both"/>
              <w:rPr>
                <w:rFonts w:ascii="Garamond" w:hAnsi="Garamond"/>
                <w:b/>
                <w:sz w:val="22"/>
                <w:lang w:val="nl-BE"/>
              </w:rPr>
            </w:pPr>
          </w:p>
          <w:p w14:paraId="00070611" w14:textId="2880632A" w:rsidR="00064E40" w:rsidRDefault="00064E40" w:rsidP="00175401">
            <w:pPr>
              <w:tabs>
                <w:tab w:val="left" w:pos="356"/>
                <w:tab w:val="left" w:pos="2268"/>
              </w:tabs>
              <w:jc w:val="both"/>
              <w:rPr>
                <w:rFonts w:ascii="Garamond" w:hAnsi="Garamond"/>
                <w:b/>
                <w:sz w:val="22"/>
                <w:lang w:val="nl-BE"/>
              </w:rPr>
            </w:pPr>
          </w:p>
          <w:p w14:paraId="60690372" w14:textId="37B614F1" w:rsidR="00064E40" w:rsidRDefault="00064E40" w:rsidP="00175401">
            <w:pPr>
              <w:tabs>
                <w:tab w:val="left" w:pos="356"/>
                <w:tab w:val="left" w:pos="2268"/>
              </w:tabs>
              <w:jc w:val="both"/>
              <w:rPr>
                <w:rFonts w:ascii="Garamond" w:hAnsi="Garamond"/>
                <w:b/>
                <w:sz w:val="22"/>
                <w:lang w:val="nl-BE"/>
              </w:rPr>
            </w:pPr>
          </w:p>
          <w:p w14:paraId="5F4E23F0" w14:textId="53C5857A" w:rsidR="00064E40" w:rsidRDefault="00064E40" w:rsidP="00175401">
            <w:pPr>
              <w:tabs>
                <w:tab w:val="left" w:pos="356"/>
                <w:tab w:val="left" w:pos="2268"/>
              </w:tabs>
              <w:jc w:val="both"/>
              <w:rPr>
                <w:rFonts w:ascii="Garamond" w:hAnsi="Garamond"/>
                <w:b/>
                <w:sz w:val="22"/>
                <w:lang w:val="nl-BE"/>
              </w:rPr>
            </w:pPr>
          </w:p>
          <w:p w14:paraId="5B9E8A9C" w14:textId="6C387516" w:rsidR="00064E40" w:rsidRDefault="00064E40" w:rsidP="00175401">
            <w:pPr>
              <w:tabs>
                <w:tab w:val="left" w:pos="356"/>
                <w:tab w:val="left" w:pos="2268"/>
              </w:tabs>
              <w:jc w:val="both"/>
              <w:rPr>
                <w:rFonts w:ascii="Garamond" w:hAnsi="Garamond"/>
                <w:b/>
                <w:sz w:val="22"/>
                <w:lang w:val="nl-BE"/>
              </w:rPr>
            </w:pPr>
          </w:p>
          <w:p w14:paraId="4CF0B4D8" w14:textId="49569304" w:rsidR="00064E40" w:rsidRDefault="00064E40" w:rsidP="00175401">
            <w:pPr>
              <w:tabs>
                <w:tab w:val="left" w:pos="356"/>
                <w:tab w:val="left" w:pos="2268"/>
              </w:tabs>
              <w:jc w:val="both"/>
              <w:rPr>
                <w:rFonts w:ascii="Garamond" w:hAnsi="Garamond"/>
                <w:b/>
                <w:sz w:val="22"/>
                <w:lang w:val="nl-BE"/>
              </w:rPr>
            </w:pPr>
          </w:p>
          <w:p w14:paraId="1952E469" w14:textId="1C114F76" w:rsidR="00064E40" w:rsidRDefault="00064E40" w:rsidP="00175401">
            <w:pPr>
              <w:tabs>
                <w:tab w:val="left" w:pos="356"/>
                <w:tab w:val="left" w:pos="2268"/>
              </w:tabs>
              <w:jc w:val="both"/>
              <w:rPr>
                <w:rFonts w:ascii="Garamond" w:hAnsi="Garamond"/>
                <w:b/>
                <w:sz w:val="22"/>
                <w:lang w:val="nl-BE"/>
              </w:rPr>
            </w:pPr>
          </w:p>
          <w:p w14:paraId="5F222800" w14:textId="3C656270" w:rsidR="00064E40" w:rsidRDefault="00064E40" w:rsidP="00175401">
            <w:pPr>
              <w:tabs>
                <w:tab w:val="left" w:pos="356"/>
                <w:tab w:val="left" w:pos="2268"/>
              </w:tabs>
              <w:jc w:val="both"/>
              <w:rPr>
                <w:rFonts w:ascii="Garamond" w:hAnsi="Garamond"/>
                <w:b/>
                <w:sz w:val="22"/>
                <w:lang w:val="nl-BE"/>
              </w:rPr>
            </w:pPr>
          </w:p>
          <w:p w14:paraId="187E45BF" w14:textId="3F4668CF" w:rsidR="00064E40" w:rsidRDefault="00064E40" w:rsidP="00175401">
            <w:pPr>
              <w:tabs>
                <w:tab w:val="left" w:pos="356"/>
                <w:tab w:val="left" w:pos="2268"/>
              </w:tabs>
              <w:jc w:val="both"/>
              <w:rPr>
                <w:rFonts w:ascii="Garamond" w:hAnsi="Garamond"/>
                <w:b/>
                <w:sz w:val="22"/>
                <w:lang w:val="nl-BE"/>
              </w:rPr>
            </w:pPr>
          </w:p>
          <w:p w14:paraId="0B2F9E6D" w14:textId="3CDD6B2D" w:rsidR="00064E40" w:rsidRDefault="00064E40" w:rsidP="00175401">
            <w:pPr>
              <w:tabs>
                <w:tab w:val="left" w:pos="356"/>
                <w:tab w:val="left" w:pos="2268"/>
              </w:tabs>
              <w:jc w:val="both"/>
              <w:rPr>
                <w:rFonts w:ascii="Garamond" w:hAnsi="Garamond"/>
                <w:b/>
                <w:sz w:val="22"/>
                <w:lang w:val="nl-BE"/>
              </w:rPr>
            </w:pPr>
          </w:p>
          <w:p w14:paraId="1565844D" w14:textId="72914779" w:rsidR="00064E40" w:rsidRDefault="00064E40" w:rsidP="00175401">
            <w:pPr>
              <w:tabs>
                <w:tab w:val="left" w:pos="356"/>
                <w:tab w:val="left" w:pos="2268"/>
              </w:tabs>
              <w:jc w:val="both"/>
              <w:rPr>
                <w:rFonts w:ascii="Garamond" w:hAnsi="Garamond"/>
                <w:b/>
                <w:sz w:val="22"/>
                <w:lang w:val="nl-BE"/>
              </w:rPr>
            </w:pPr>
          </w:p>
          <w:p w14:paraId="4A6FF46D" w14:textId="77777777" w:rsidR="00064E40" w:rsidRPr="00A3787E" w:rsidRDefault="00064E40" w:rsidP="00175401">
            <w:pPr>
              <w:tabs>
                <w:tab w:val="left" w:pos="356"/>
                <w:tab w:val="left" w:pos="2268"/>
              </w:tabs>
              <w:jc w:val="both"/>
              <w:rPr>
                <w:rFonts w:ascii="Garamond" w:hAnsi="Garamond"/>
                <w:b/>
                <w:sz w:val="22"/>
                <w:lang w:val="nl-BE"/>
              </w:rPr>
            </w:pPr>
          </w:p>
          <w:p w14:paraId="4A234B77" w14:textId="77777777" w:rsidR="008C04D8" w:rsidRPr="00A3787E" w:rsidRDefault="008C04D8" w:rsidP="00175401">
            <w:pPr>
              <w:tabs>
                <w:tab w:val="left" w:pos="356"/>
                <w:tab w:val="left" w:pos="2268"/>
              </w:tabs>
              <w:jc w:val="both"/>
              <w:rPr>
                <w:rFonts w:ascii="Garamond" w:hAnsi="Garamond"/>
                <w:b/>
                <w:sz w:val="22"/>
                <w:lang w:val="nl-BE"/>
              </w:rPr>
            </w:pPr>
          </w:p>
          <w:p w14:paraId="712C27C4" w14:textId="77777777" w:rsidR="008C04D8" w:rsidRPr="00A3787E" w:rsidRDefault="008C04D8" w:rsidP="00175401">
            <w:pPr>
              <w:tabs>
                <w:tab w:val="left" w:pos="356"/>
                <w:tab w:val="left" w:pos="2268"/>
              </w:tabs>
              <w:jc w:val="both"/>
              <w:rPr>
                <w:rFonts w:ascii="Garamond" w:hAnsi="Garamond"/>
                <w:b/>
                <w:sz w:val="22"/>
                <w:lang w:val="nl-BE"/>
              </w:rPr>
            </w:pPr>
          </w:p>
          <w:p w14:paraId="4D3975C2" w14:textId="77777777" w:rsidR="008C04D8" w:rsidRPr="00A3787E" w:rsidRDefault="008C04D8" w:rsidP="00175401">
            <w:pPr>
              <w:tabs>
                <w:tab w:val="left" w:pos="356"/>
                <w:tab w:val="left" w:pos="2268"/>
              </w:tabs>
              <w:jc w:val="both"/>
              <w:rPr>
                <w:rFonts w:ascii="Garamond" w:hAnsi="Garamond"/>
                <w:b/>
                <w:sz w:val="22"/>
                <w:lang w:val="nl-BE"/>
              </w:rPr>
            </w:pPr>
          </w:p>
          <w:p w14:paraId="1D55EDFC" w14:textId="45FE70C8" w:rsidR="00175401" w:rsidRPr="00E36AE7" w:rsidRDefault="00175401" w:rsidP="00175401">
            <w:pPr>
              <w:tabs>
                <w:tab w:val="left" w:pos="356"/>
                <w:tab w:val="left" w:pos="2268"/>
              </w:tabs>
              <w:jc w:val="both"/>
              <w:rPr>
                <w:rFonts w:ascii="Garamond" w:hAnsi="Garamond"/>
                <w:sz w:val="22"/>
                <w:u w:val="single"/>
                <w:lang w:val="fr-BE"/>
              </w:rPr>
            </w:pPr>
            <w:r w:rsidRPr="00E36AE7">
              <w:rPr>
                <w:rFonts w:ascii="Garamond" w:hAnsi="Garamond"/>
                <w:b/>
                <w:sz w:val="22"/>
                <w:lang w:val="fr-BE"/>
              </w:rPr>
              <w:lastRenderedPageBreak/>
              <w:t xml:space="preserve">Art. </w:t>
            </w:r>
            <w:r w:rsidR="00F61D18">
              <w:rPr>
                <w:rFonts w:ascii="Garamond" w:hAnsi="Garamond"/>
                <w:b/>
                <w:sz w:val="22"/>
                <w:lang w:val="fr-BE"/>
              </w:rPr>
              <w:t>1</w:t>
            </w:r>
            <w:r w:rsidR="00044F57">
              <w:rPr>
                <w:rFonts w:ascii="Garamond" w:hAnsi="Garamond"/>
                <w:b/>
                <w:sz w:val="22"/>
                <w:lang w:val="fr-BE"/>
              </w:rPr>
              <w:t>1</w:t>
            </w:r>
            <w:r w:rsidRPr="00E36AE7">
              <w:rPr>
                <w:rFonts w:ascii="Garamond" w:hAnsi="Garamond"/>
                <w:b/>
                <w:sz w:val="22"/>
                <w:lang w:val="fr-BE"/>
              </w:rPr>
              <w:t>.</w:t>
            </w:r>
            <w:r w:rsidRPr="00E36AE7">
              <w:rPr>
                <w:rFonts w:ascii="Garamond" w:hAnsi="Garamond"/>
                <w:sz w:val="22"/>
                <w:lang w:val="fr-BE"/>
              </w:rPr>
              <w:t xml:space="preserve"> </w:t>
            </w:r>
            <w:r w:rsidRPr="005A1493">
              <w:rPr>
                <w:rFonts w:ascii="Garamond" w:hAnsi="Garamond"/>
                <w:sz w:val="22"/>
                <w:lang w:val="fr-BE"/>
              </w:rPr>
              <w:t>L</w:t>
            </w:r>
            <w:r>
              <w:rPr>
                <w:rFonts w:ascii="Garamond" w:hAnsi="Garamond"/>
                <w:sz w:val="22"/>
                <w:lang w:val="fr-BE"/>
              </w:rPr>
              <w:t>e</w:t>
            </w:r>
            <w:r w:rsidRPr="005A1493">
              <w:rPr>
                <w:rFonts w:ascii="Garamond" w:hAnsi="Garamond"/>
                <w:sz w:val="22"/>
                <w:lang w:val="fr-BE"/>
              </w:rPr>
              <w:t xml:space="preserve"> ministre qui a la Santé publique dans ses attributions </w:t>
            </w:r>
            <w:r w:rsidRPr="007D2F26">
              <w:rPr>
                <w:rFonts w:ascii="Garamond" w:hAnsi="Garamond" w:cs="Arial"/>
                <w:sz w:val="22"/>
                <w:szCs w:val="22"/>
                <w:lang w:val="fr-BE"/>
              </w:rPr>
              <w:t>et le ministre qui a l’</w:t>
            </w:r>
            <w:r w:rsidRPr="00E94471">
              <w:rPr>
                <w:rFonts w:ascii="Garamond" w:hAnsi="Garamond" w:cs="Arial"/>
                <w:sz w:val="22"/>
                <w:szCs w:val="22"/>
                <w:lang w:val="fr-BE"/>
              </w:rPr>
              <w:t xml:space="preserve">Agriculture </w:t>
            </w:r>
            <w:r w:rsidRPr="007D2F26">
              <w:rPr>
                <w:rFonts w:ascii="Garamond" w:hAnsi="Garamond" w:cs="Arial"/>
                <w:sz w:val="22"/>
                <w:szCs w:val="22"/>
                <w:lang w:val="fr-BE"/>
              </w:rPr>
              <w:t>dans ses attributions sont chargés, chacun en ce qui le concerne, de l'exécution du présent arrêté</w:t>
            </w:r>
            <w:r w:rsidRPr="00E36AE7">
              <w:rPr>
                <w:rFonts w:ascii="Garamond" w:hAnsi="Garamond"/>
                <w:sz w:val="22"/>
                <w:lang w:val="fr-BE"/>
              </w:rPr>
              <w:t>.</w:t>
            </w:r>
          </w:p>
        </w:tc>
        <w:tc>
          <w:tcPr>
            <w:tcW w:w="324" w:type="dxa"/>
            <w:tcBorders>
              <w:top w:val="nil"/>
              <w:left w:val="nil"/>
              <w:bottom w:val="nil"/>
              <w:right w:val="nil"/>
            </w:tcBorders>
          </w:tcPr>
          <w:p w14:paraId="0497A202" w14:textId="77777777" w:rsidR="00175401" w:rsidRPr="00E36AE7" w:rsidRDefault="00175401"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3EBF54A2" w14:textId="77777777" w:rsidR="008C04D8" w:rsidRPr="00A3787E" w:rsidRDefault="008C04D8" w:rsidP="00175401">
            <w:pPr>
              <w:tabs>
                <w:tab w:val="left" w:pos="355"/>
              </w:tabs>
              <w:jc w:val="both"/>
              <w:rPr>
                <w:rFonts w:ascii="Garamond" w:hAnsi="Garamond"/>
                <w:b/>
                <w:sz w:val="22"/>
                <w:lang w:val="fr-BE"/>
              </w:rPr>
            </w:pPr>
          </w:p>
          <w:p w14:paraId="2BB22B33" w14:textId="77777777" w:rsidR="008C04D8" w:rsidRPr="00A3787E" w:rsidRDefault="008C04D8" w:rsidP="00175401">
            <w:pPr>
              <w:tabs>
                <w:tab w:val="left" w:pos="355"/>
              </w:tabs>
              <w:jc w:val="both"/>
              <w:rPr>
                <w:rFonts w:ascii="Garamond" w:hAnsi="Garamond"/>
                <w:b/>
                <w:sz w:val="22"/>
                <w:lang w:val="fr-BE"/>
              </w:rPr>
            </w:pPr>
          </w:p>
          <w:p w14:paraId="661D9C46" w14:textId="4400E306" w:rsidR="008C04D8" w:rsidRDefault="008C04D8" w:rsidP="00175401">
            <w:pPr>
              <w:tabs>
                <w:tab w:val="left" w:pos="355"/>
              </w:tabs>
              <w:jc w:val="both"/>
              <w:rPr>
                <w:rFonts w:ascii="Garamond" w:hAnsi="Garamond"/>
                <w:b/>
                <w:sz w:val="22"/>
                <w:lang w:val="fr-BE"/>
              </w:rPr>
            </w:pPr>
          </w:p>
          <w:p w14:paraId="71122675" w14:textId="605A4911" w:rsidR="00064E40" w:rsidRDefault="00064E40" w:rsidP="00175401">
            <w:pPr>
              <w:tabs>
                <w:tab w:val="left" w:pos="355"/>
              </w:tabs>
              <w:jc w:val="both"/>
              <w:rPr>
                <w:rFonts w:ascii="Garamond" w:hAnsi="Garamond"/>
                <w:b/>
                <w:sz w:val="22"/>
                <w:lang w:val="fr-BE"/>
              </w:rPr>
            </w:pPr>
          </w:p>
          <w:p w14:paraId="02B2070B" w14:textId="02C4D9C3" w:rsidR="00064E40" w:rsidRDefault="00064E40" w:rsidP="00175401">
            <w:pPr>
              <w:tabs>
                <w:tab w:val="left" w:pos="355"/>
              </w:tabs>
              <w:jc w:val="both"/>
              <w:rPr>
                <w:rFonts w:ascii="Garamond" w:hAnsi="Garamond"/>
                <w:b/>
                <w:sz w:val="22"/>
                <w:lang w:val="fr-BE"/>
              </w:rPr>
            </w:pPr>
          </w:p>
          <w:p w14:paraId="54E2BA20" w14:textId="190B3584" w:rsidR="00064E40" w:rsidRDefault="00064E40" w:rsidP="00175401">
            <w:pPr>
              <w:tabs>
                <w:tab w:val="left" w:pos="355"/>
              </w:tabs>
              <w:jc w:val="both"/>
              <w:rPr>
                <w:rFonts w:ascii="Garamond" w:hAnsi="Garamond"/>
                <w:b/>
                <w:sz w:val="22"/>
                <w:lang w:val="fr-BE"/>
              </w:rPr>
            </w:pPr>
          </w:p>
          <w:p w14:paraId="5E10B742" w14:textId="4253428E" w:rsidR="00064E40" w:rsidRDefault="00064E40" w:rsidP="00175401">
            <w:pPr>
              <w:tabs>
                <w:tab w:val="left" w:pos="355"/>
              </w:tabs>
              <w:jc w:val="both"/>
              <w:rPr>
                <w:rFonts w:ascii="Garamond" w:hAnsi="Garamond"/>
                <w:b/>
                <w:sz w:val="22"/>
                <w:lang w:val="fr-BE"/>
              </w:rPr>
            </w:pPr>
          </w:p>
          <w:p w14:paraId="0F2D2ACA" w14:textId="52CF3BC2" w:rsidR="00064E40" w:rsidRDefault="00064E40" w:rsidP="00175401">
            <w:pPr>
              <w:tabs>
                <w:tab w:val="left" w:pos="355"/>
              </w:tabs>
              <w:jc w:val="both"/>
              <w:rPr>
                <w:rFonts w:ascii="Garamond" w:hAnsi="Garamond"/>
                <w:b/>
                <w:sz w:val="22"/>
                <w:lang w:val="fr-BE"/>
              </w:rPr>
            </w:pPr>
          </w:p>
          <w:p w14:paraId="73345A0A" w14:textId="3A6F264C" w:rsidR="00064E40" w:rsidRDefault="00064E40" w:rsidP="00175401">
            <w:pPr>
              <w:tabs>
                <w:tab w:val="left" w:pos="355"/>
              </w:tabs>
              <w:jc w:val="both"/>
              <w:rPr>
                <w:rFonts w:ascii="Garamond" w:hAnsi="Garamond"/>
                <w:b/>
                <w:sz w:val="22"/>
                <w:lang w:val="fr-BE"/>
              </w:rPr>
            </w:pPr>
          </w:p>
          <w:p w14:paraId="551D0467" w14:textId="553ED89B" w:rsidR="00064E40" w:rsidRDefault="00064E40" w:rsidP="00175401">
            <w:pPr>
              <w:tabs>
                <w:tab w:val="left" w:pos="355"/>
              </w:tabs>
              <w:jc w:val="both"/>
              <w:rPr>
                <w:rFonts w:ascii="Garamond" w:hAnsi="Garamond"/>
                <w:b/>
                <w:sz w:val="22"/>
                <w:lang w:val="fr-BE"/>
              </w:rPr>
            </w:pPr>
          </w:p>
          <w:p w14:paraId="67088F71" w14:textId="4E73D9C9" w:rsidR="00064E40" w:rsidRDefault="00064E40" w:rsidP="00175401">
            <w:pPr>
              <w:tabs>
                <w:tab w:val="left" w:pos="355"/>
              </w:tabs>
              <w:jc w:val="both"/>
              <w:rPr>
                <w:rFonts w:ascii="Garamond" w:hAnsi="Garamond"/>
                <w:b/>
                <w:sz w:val="22"/>
                <w:lang w:val="fr-BE"/>
              </w:rPr>
            </w:pPr>
          </w:p>
          <w:p w14:paraId="4D76D7E6" w14:textId="63457143" w:rsidR="00064E40" w:rsidRDefault="00064E40" w:rsidP="00175401">
            <w:pPr>
              <w:tabs>
                <w:tab w:val="left" w:pos="355"/>
              </w:tabs>
              <w:jc w:val="both"/>
              <w:rPr>
                <w:rFonts w:ascii="Garamond" w:hAnsi="Garamond"/>
                <w:b/>
                <w:sz w:val="22"/>
                <w:lang w:val="fr-BE"/>
              </w:rPr>
            </w:pPr>
          </w:p>
          <w:p w14:paraId="7A1707F4" w14:textId="60991C11" w:rsidR="00064E40" w:rsidRDefault="00064E40" w:rsidP="00175401">
            <w:pPr>
              <w:tabs>
                <w:tab w:val="left" w:pos="355"/>
              </w:tabs>
              <w:jc w:val="both"/>
              <w:rPr>
                <w:rFonts w:ascii="Garamond" w:hAnsi="Garamond"/>
                <w:b/>
                <w:sz w:val="22"/>
                <w:lang w:val="fr-BE"/>
              </w:rPr>
            </w:pPr>
          </w:p>
          <w:p w14:paraId="6CD69EE6" w14:textId="009ADEE3" w:rsidR="00064E40" w:rsidRDefault="00064E40" w:rsidP="00175401">
            <w:pPr>
              <w:tabs>
                <w:tab w:val="left" w:pos="355"/>
              </w:tabs>
              <w:jc w:val="both"/>
              <w:rPr>
                <w:rFonts w:ascii="Garamond" w:hAnsi="Garamond"/>
                <w:b/>
                <w:sz w:val="22"/>
                <w:lang w:val="fr-BE"/>
              </w:rPr>
            </w:pPr>
          </w:p>
          <w:p w14:paraId="50654B5C" w14:textId="5908D84C" w:rsidR="00064E40" w:rsidRDefault="00064E40" w:rsidP="00175401">
            <w:pPr>
              <w:tabs>
                <w:tab w:val="left" w:pos="355"/>
              </w:tabs>
              <w:jc w:val="both"/>
              <w:rPr>
                <w:rFonts w:ascii="Garamond" w:hAnsi="Garamond"/>
                <w:b/>
                <w:sz w:val="22"/>
                <w:lang w:val="fr-BE"/>
              </w:rPr>
            </w:pPr>
          </w:p>
          <w:p w14:paraId="435EB2AD" w14:textId="22F9733D" w:rsidR="00064E40" w:rsidRDefault="00064E40" w:rsidP="00175401">
            <w:pPr>
              <w:tabs>
                <w:tab w:val="left" w:pos="355"/>
              </w:tabs>
              <w:jc w:val="both"/>
              <w:rPr>
                <w:rFonts w:ascii="Garamond" w:hAnsi="Garamond"/>
                <w:b/>
                <w:sz w:val="22"/>
                <w:lang w:val="fr-BE"/>
              </w:rPr>
            </w:pPr>
          </w:p>
          <w:p w14:paraId="56C69D36" w14:textId="77777777" w:rsidR="00064E40" w:rsidRPr="00A3787E" w:rsidRDefault="00064E40" w:rsidP="00175401">
            <w:pPr>
              <w:tabs>
                <w:tab w:val="left" w:pos="355"/>
              </w:tabs>
              <w:jc w:val="both"/>
              <w:rPr>
                <w:rFonts w:ascii="Garamond" w:hAnsi="Garamond"/>
                <w:b/>
                <w:sz w:val="22"/>
                <w:lang w:val="fr-BE"/>
              </w:rPr>
            </w:pPr>
          </w:p>
          <w:p w14:paraId="5765BA0C" w14:textId="77777777" w:rsidR="008C04D8" w:rsidRPr="00A3787E" w:rsidRDefault="008C04D8" w:rsidP="00175401">
            <w:pPr>
              <w:tabs>
                <w:tab w:val="left" w:pos="355"/>
              </w:tabs>
              <w:jc w:val="both"/>
              <w:rPr>
                <w:rFonts w:ascii="Garamond" w:hAnsi="Garamond"/>
                <w:b/>
                <w:sz w:val="22"/>
                <w:lang w:val="fr-BE"/>
              </w:rPr>
            </w:pPr>
          </w:p>
          <w:p w14:paraId="1CBCFCDF" w14:textId="77777777" w:rsidR="008C04D8" w:rsidRPr="00A3787E" w:rsidRDefault="008C04D8" w:rsidP="00175401">
            <w:pPr>
              <w:tabs>
                <w:tab w:val="left" w:pos="355"/>
              </w:tabs>
              <w:jc w:val="both"/>
              <w:rPr>
                <w:rFonts w:ascii="Garamond" w:hAnsi="Garamond"/>
                <w:b/>
                <w:sz w:val="22"/>
                <w:lang w:val="fr-BE"/>
              </w:rPr>
            </w:pPr>
          </w:p>
          <w:p w14:paraId="0A52742E" w14:textId="77777777" w:rsidR="008C04D8" w:rsidRPr="00A3787E" w:rsidRDefault="008C04D8" w:rsidP="00175401">
            <w:pPr>
              <w:tabs>
                <w:tab w:val="left" w:pos="355"/>
              </w:tabs>
              <w:jc w:val="both"/>
              <w:rPr>
                <w:rFonts w:ascii="Garamond" w:hAnsi="Garamond"/>
                <w:b/>
                <w:sz w:val="22"/>
                <w:lang w:val="fr-BE"/>
              </w:rPr>
            </w:pPr>
          </w:p>
          <w:p w14:paraId="6059ECA7" w14:textId="77777777" w:rsidR="008C04D8" w:rsidRPr="00A3787E" w:rsidRDefault="008C04D8" w:rsidP="00175401">
            <w:pPr>
              <w:tabs>
                <w:tab w:val="left" w:pos="355"/>
              </w:tabs>
              <w:jc w:val="both"/>
              <w:rPr>
                <w:rFonts w:ascii="Garamond" w:hAnsi="Garamond"/>
                <w:b/>
                <w:sz w:val="22"/>
                <w:lang w:val="fr-BE"/>
              </w:rPr>
            </w:pPr>
          </w:p>
          <w:p w14:paraId="482EE8D0" w14:textId="183FBD9D" w:rsidR="00175401" w:rsidRPr="00E36AE7" w:rsidRDefault="00175401" w:rsidP="00175401">
            <w:pPr>
              <w:tabs>
                <w:tab w:val="left" w:pos="355"/>
              </w:tabs>
              <w:jc w:val="both"/>
              <w:rPr>
                <w:rFonts w:ascii="Garamond" w:hAnsi="Garamond"/>
                <w:sz w:val="22"/>
                <w:lang w:val="nl-NL"/>
              </w:rPr>
            </w:pPr>
            <w:r w:rsidRPr="00E36AE7">
              <w:rPr>
                <w:rFonts w:ascii="Garamond" w:hAnsi="Garamond"/>
                <w:b/>
                <w:sz w:val="22"/>
                <w:lang w:val="nl-NL"/>
              </w:rPr>
              <w:lastRenderedPageBreak/>
              <w:t xml:space="preserve">Art. </w:t>
            </w:r>
            <w:r w:rsidR="00F61D18">
              <w:rPr>
                <w:rFonts w:ascii="Garamond" w:hAnsi="Garamond"/>
                <w:b/>
                <w:sz w:val="22"/>
                <w:lang w:val="nl-NL"/>
              </w:rPr>
              <w:t>1</w:t>
            </w:r>
            <w:r w:rsidR="00044F57">
              <w:rPr>
                <w:rFonts w:ascii="Garamond" w:hAnsi="Garamond"/>
                <w:b/>
                <w:sz w:val="22"/>
                <w:lang w:val="nl-NL"/>
              </w:rPr>
              <w:t>1</w:t>
            </w:r>
            <w:r w:rsidRPr="00E36AE7">
              <w:rPr>
                <w:rFonts w:ascii="Garamond" w:hAnsi="Garamond"/>
                <w:b/>
                <w:sz w:val="22"/>
                <w:lang w:val="nl-NL"/>
              </w:rPr>
              <w:t>.</w:t>
            </w:r>
            <w:r>
              <w:rPr>
                <w:rFonts w:ascii="Garamond" w:hAnsi="Garamond"/>
                <w:sz w:val="22"/>
                <w:szCs w:val="22"/>
                <w:lang w:val="nl-NL"/>
              </w:rPr>
              <w:t xml:space="preserve"> </w:t>
            </w:r>
            <w:r w:rsidRPr="00E36AE7">
              <w:rPr>
                <w:rFonts w:ascii="Garamond" w:hAnsi="Garamond"/>
                <w:sz w:val="22"/>
                <w:lang w:val="nl-NL"/>
              </w:rPr>
              <w:t>De minister bevoegd voor Volksgezondheid en de minister bevoegd voor Landbouw zijn, ieder wat hem betreft, belast met de uitvoering van dit besluit</w:t>
            </w:r>
          </w:p>
        </w:tc>
      </w:tr>
      <w:tr w:rsidR="00175401" w:rsidRPr="00BA2D73" w14:paraId="21AC1BEF" w14:textId="77777777" w:rsidTr="0013508B">
        <w:tc>
          <w:tcPr>
            <w:tcW w:w="4496" w:type="dxa"/>
            <w:tcBorders>
              <w:top w:val="nil"/>
              <w:left w:val="nil"/>
              <w:bottom w:val="nil"/>
              <w:right w:val="nil"/>
            </w:tcBorders>
          </w:tcPr>
          <w:p w14:paraId="07F6F25E" w14:textId="1A662FF0" w:rsidR="00175401" w:rsidRPr="00E36AE7" w:rsidRDefault="00175401" w:rsidP="00175401">
            <w:pPr>
              <w:tabs>
                <w:tab w:val="left" w:pos="356"/>
                <w:tab w:val="left" w:pos="2268"/>
              </w:tabs>
              <w:jc w:val="both"/>
              <w:rPr>
                <w:rFonts w:ascii="Garamond" w:hAnsi="Garamond"/>
                <w:sz w:val="22"/>
                <w:lang w:val="nl-NL"/>
              </w:rPr>
            </w:pPr>
          </w:p>
        </w:tc>
        <w:tc>
          <w:tcPr>
            <w:tcW w:w="324" w:type="dxa"/>
            <w:tcBorders>
              <w:top w:val="nil"/>
              <w:left w:val="nil"/>
              <w:bottom w:val="nil"/>
              <w:right w:val="nil"/>
            </w:tcBorders>
          </w:tcPr>
          <w:p w14:paraId="27BCA9BC" w14:textId="77777777" w:rsidR="00175401" w:rsidRPr="00E36AE7" w:rsidRDefault="00175401" w:rsidP="00175401">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0BC863DF" w14:textId="7AC4D6AE" w:rsidR="00175401" w:rsidRPr="00E36AE7" w:rsidRDefault="00175401" w:rsidP="00175401">
            <w:pPr>
              <w:tabs>
                <w:tab w:val="left" w:pos="355"/>
                <w:tab w:val="left" w:pos="2410"/>
              </w:tabs>
              <w:jc w:val="both"/>
              <w:rPr>
                <w:rFonts w:ascii="Garamond" w:hAnsi="Garamond"/>
                <w:sz w:val="22"/>
                <w:u w:val="single"/>
                <w:lang w:val="nl-NL"/>
              </w:rPr>
            </w:pPr>
          </w:p>
        </w:tc>
      </w:tr>
      <w:tr w:rsidR="00175401" w:rsidRPr="00BA2D73" w14:paraId="0765F59D" w14:textId="77777777" w:rsidTr="0013508B">
        <w:tc>
          <w:tcPr>
            <w:tcW w:w="4496" w:type="dxa"/>
            <w:tcBorders>
              <w:top w:val="nil"/>
              <w:left w:val="nil"/>
              <w:bottom w:val="nil"/>
              <w:right w:val="nil"/>
            </w:tcBorders>
          </w:tcPr>
          <w:p w14:paraId="284252BE" w14:textId="77777777" w:rsidR="00175401" w:rsidRPr="00E36AE7" w:rsidRDefault="00175401" w:rsidP="00175401">
            <w:pPr>
              <w:tabs>
                <w:tab w:val="left" w:pos="356"/>
                <w:tab w:val="left" w:pos="2268"/>
              </w:tabs>
              <w:jc w:val="both"/>
              <w:rPr>
                <w:rFonts w:ascii="Garamond" w:hAnsi="Garamond"/>
                <w:sz w:val="22"/>
                <w:lang w:val="nl-NL"/>
              </w:rPr>
            </w:pPr>
          </w:p>
        </w:tc>
        <w:tc>
          <w:tcPr>
            <w:tcW w:w="324" w:type="dxa"/>
            <w:tcBorders>
              <w:top w:val="nil"/>
              <w:left w:val="nil"/>
              <w:bottom w:val="nil"/>
              <w:right w:val="nil"/>
            </w:tcBorders>
          </w:tcPr>
          <w:p w14:paraId="136CFBD2" w14:textId="77777777" w:rsidR="00175401" w:rsidRPr="00E36AE7" w:rsidRDefault="00175401" w:rsidP="00175401">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570574FD" w14:textId="60872D52" w:rsidR="00175401" w:rsidRPr="00E36AE7" w:rsidRDefault="00175401" w:rsidP="00175401">
            <w:pPr>
              <w:tabs>
                <w:tab w:val="left" w:pos="355"/>
                <w:tab w:val="left" w:pos="2410"/>
              </w:tabs>
              <w:jc w:val="both"/>
              <w:rPr>
                <w:rFonts w:ascii="Garamond" w:hAnsi="Garamond"/>
                <w:sz w:val="22"/>
                <w:u w:val="single"/>
                <w:lang w:val="nl-NL"/>
              </w:rPr>
            </w:pPr>
          </w:p>
        </w:tc>
      </w:tr>
      <w:tr w:rsidR="00175401" w:rsidRPr="00A7389A" w14:paraId="2FF2E99A" w14:textId="77777777" w:rsidTr="0013508B">
        <w:tc>
          <w:tcPr>
            <w:tcW w:w="4496" w:type="dxa"/>
            <w:tcBorders>
              <w:top w:val="nil"/>
              <w:left w:val="nil"/>
              <w:bottom w:val="nil"/>
              <w:right w:val="nil"/>
            </w:tcBorders>
          </w:tcPr>
          <w:p w14:paraId="4D062574" w14:textId="7AD3371E" w:rsidR="00175401" w:rsidRPr="00AF546D" w:rsidRDefault="00175401" w:rsidP="00175401">
            <w:pPr>
              <w:tabs>
                <w:tab w:val="left" w:pos="356"/>
                <w:tab w:val="left" w:pos="2268"/>
              </w:tabs>
              <w:jc w:val="center"/>
              <w:rPr>
                <w:rFonts w:ascii="Garamond" w:hAnsi="Garamond"/>
                <w:sz w:val="22"/>
                <w:lang w:val="fr-BE"/>
              </w:rPr>
            </w:pPr>
            <w:r>
              <w:rPr>
                <w:rFonts w:ascii="Garamond" w:hAnsi="Garamond"/>
                <w:sz w:val="22"/>
                <w:lang w:val="fr-BE"/>
              </w:rPr>
              <w:t>, le</w:t>
            </w:r>
          </w:p>
        </w:tc>
        <w:tc>
          <w:tcPr>
            <w:tcW w:w="324" w:type="dxa"/>
            <w:tcBorders>
              <w:top w:val="nil"/>
              <w:left w:val="nil"/>
              <w:bottom w:val="nil"/>
              <w:right w:val="nil"/>
            </w:tcBorders>
          </w:tcPr>
          <w:p w14:paraId="7FD7AF60" w14:textId="77777777" w:rsidR="00175401" w:rsidRPr="00AF546D" w:rsidRDefault="00175401"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106FE6B8" w14:textId="32A85F1F" w:rsidR="00175401" w:rsidRPr="00AF546D" w:rsidRDefault="00175401" w:rsidP="00175401">
            <w:pPr>
              <w:tabs>
                <w:tab w:val="left" w:pos="355"/>
                <w:tab w:val="left" w:pos="2410"/>
              </w:tabs>
              <w:jc w:val="center"/>
              <w:rPr>
                <w:rFonts w:ascii="Garamond" w:hAnsi="Garamond"/>
                <w:sz w:val="22"/>
                <w:u w:val="single"/>
                <w:lang w:val="fr-BE"/>
              </w:rPr>
            </w:pPr>
            <w:r>
              <w:rPr>
                <w:rFonts w:ascii="Garamond" w:hAnsi="Garamond"/>
                <w:sz w:val="22"/>
                <w:u w:val="single"/>
                <w:lang w:val="fr-BE"/>
              </w:rPr>
              <w:t>,</w:t>
            </w:r>
          </w:p>
        </w:tc>
      </w:tr>
      <w:tr w:rsidR="00175401" w:rsidRPr="007257CC" w14:paraId="72DF6C78" w14:textId="77777777" w:rsidTr="004B7D74">
        <w:trPr>
          <w:trHeight w:val="3339"/>
        </w:trPr>
        <w:tc>
          <w:tcPr>
            <w:tcW w:w="9283" w:type="dxa"/>
            <w:gridSpan w:val="3"/>
            <w:tcBorders>
              <w:top w:val="nil"/>
              <w:left w:val="nil"/>
              <w:bottom w:val="nil"/>
              <w:right w:val="nil"/>
            </w:tcBorders>
          </w:tcPr>
          <w:p w14:paraId="6DEE87DF" w14:textId="77777777" w:rsidR="00175401" w:rsidRPr="00AF546D" w:rsidRDefault="00175401" w:rsidP="00175401">
            <w:pPr>
              <w:tabs>
                <w:tab w:val="left" w:pos="2410"/>
              </w:tabs>
              <w:rPr>
                <w:rFonts w:ascii="Garamond" w:hAnsi="Garamond"/>
                <w:sz w:val="22"/>
                <w:u w:val="single"/>
                <w:lang w:val="fr-BE"/>
              </w:rPr>
            </w:pPr>
          </w:p>
        </w:tc>
      </w:tr>
      <w:tr w:rsidR="00175401" w14:paraId="6F995D1C" w14:textId="77777777" w:rsidTr="0013508B">
        <w:tc>
          <w:tcPr>
            <w:tcW w:w="4496" w:type="dxa"/>
            <w:tcBorders>
              <w:top w:val="nil"/>
              <w:left w:val="nil"/>
              <w:bottom w:val="nil"/>
              <w:right w:val="nil"/>
            </w:tcBorders>
          </w:tcPr>
          <w:p w14:paraId="00513E8B" w14:textId="7A725AAE" w:rsidR="00175401" w:rsidRPr="00E36AE7" w:rsidRDefault="00175401" w:rsidP="00175401">
            <w:pPr>
              <w:pStyle w:val="Pieddepage"/>
              <w:tabs>
                <w:tab w:val="clear" w:pos="4536"/>
                <w:tab w:val="clear" w:pos="9072"/>
                <w:tab w:val="left" w:pos="567"/>
                <w:tab w:val="left" w:pos="2268"/>
              </w:tabs>
              <w:jc w:val="center"/>
              <w:rPr>
                <w:rFonts w:ascii="Garamond" w:hAnsi="Garamond"/>
                <w:sz w:val="22"/>
                <w:lang w:val="nl-NL"/>
              </w:rPr>
            </w:pPr>
            <w:r w:rsidRPr="00E36AE7">
              <w:rPr>
                <w:rFonts w:ascii="Garamond" w:hAnsi="Garamond"/>
                <w:sz w:val="22"/>
                <w:lang w:val="nl-NL"/>
              </w:rPr>
              <w:t xml:space="preserve">Par </w:t>
            </w:r>
            <w:proofErr w:type="spellStart"/>
            <w:r w:rsidRPr="00E36AE7">
              <w:rPr>
                <w:rFonts w:ascii="Garamond" w:hAnsi="Garamond"/>
                <w:sz w:val="22"/>
                <w:lang w:val="nl-NL"/>
              </w:rPr>
              <w:t>le</w:t>
            </w:r>
            <w:proofErr w:type="spellEnd"/>
            <w:r w:rsidRPr="00E36AE7">
              <w:rPr>
                <w:rFonts w:ascii="Garamond" w:hAnsi="Garamond"/>
                <w:sz w:val="22"/>
                <w:lang w:val="nl-NL"/>
              </w:rPr>
              <w:t xml:space="preserve"> </w:t>
            </w:r>
            <w:proofErr w:type="spellStart"/>
            <w:r w:rsidRPr="00E36AE7">
              <w:rPr>
                <w:rFonts w:ascii="Garamond" w:hAnsi="Garamond"/>
                <w:sz w:val="22"/>
                <w:lang w:val="nl-NL"/>
              </w:rPr>
              <w:t>Roi</w:t>
            </w:r>
            <w:proofErr w:type="spellEnd"/>
            <w:r w:rsidR="00EC0136">
              <w:rPr>
                <w:rFonts w:ascii="Garamond" w:hAnsi="Garamond"/>
                <w:sz w:val="22"/>
                <w:lang w:val="nl-NL"/>
              </w:rPr>
              <w:t xml:space="preserve"> </w:t>
            </w:r>
            <w:r w:rsidRPr="00E36AE7">
              <w:rPr>
                <w:rFonts w:ascii="Garamond" w:hAnsi="Garamond"/>
                <w:sz w:val="22"/>
                <w:lang w:val="nl-NL"/>
              </w:rPr>
              <w:t xml:space="preserve">: </w:t>
            </w:r>
          </w:p>
        </w:tc>
        <w:tc>
          <w:tcPr>
            <w:tcW w:w="324" w:type="dxa"/>
            <w:tcBorders>
              <w:top w:val="nil"/>
              <w:left w:val="nil"/>
              <w:bottom w:val="nil"/>
              <w:right w:val="nil"/>
            </w:tcBorders>
          </w:tcPr>
          <w:p w14:paraId="47D91337" w14:textId="77777777" w:rsidR="00175401" w:rsidRPr="00E36AE7" w:rsidRDefault="00175401" w:rsidP="00175401">
            <w:pPr>
              <w:tabs>
                <w:tab w:val="left" w:pos="2410"/>
              </w:tabs>
              <w:jc w:val="center"/>
              <w:rPr>
                <w:rFonts w:ascii="Garamond" w:hAnsi="Garamond"/>
                <w:sz w:val="22"/>
                <w:lang w:val="nl-NL"/>
              </w:rPr>
            </w:pPr>
          </w:p>
        </w:tc>
        <w:tc>
          <w:tcPr>
            <w:tcW w:w="4463" w:type="dxa"/>
            <w:tcBorders>
              <w:top w:val="nil"/>
              <w:left w:val="nil"/>
              <w:bottom w:val="nil"/>
              <w:right w:val="nil"/>
            </w:tcBorders>
          </w:tcPr>
          <w:p w14:paraId="6DC31213" w14:textId="6C8C4D89" w:rsidR="00175401" w:rsidRPr="005A1493" w:rsidRDefault="00175401" w:rsidP="00175401">
            <w:pPr>
              <w:tabs>
                <w:tab w:val="left" w:pos="2410"/>
              </w:tabs>
              <w:jc w:val="center"/>
              <w:rPr>
                <w:rFonts w:ascii="Garamond" w:hAnsi="Garamond"/>
                <w:sz w:val="22"/>
                <w:lang w:val="fr-BE"/>
              </w:rPr>
            </w:pPr>
            <w:r w:rsidRPr="00E36AE7">
              <w:rPr>
                <w:rFonts w:ascii="Garamond" w:hAnsi="Garamond"/>
                <w:sz w:val="22"/>
                <w:lang w:val="nl-NL"/>
              </w:rPr>
              <w:t>Van Koningswege</w:t>
            </w:r>
            <w:r w:rsidRPr="005A1493">
              <w:rPr>
                <w:rFonts w:ascii="Garamond" w:hAnsi="Garamond"/>
                <w:sz w:val="22"/>
                <w:lang w:val="fr-BE"/>
              </w:rPr>
              <w:t>:</w:t>
            </w:r>
          </w:p>
        </w:tc>
      </w:tr>
      <w:tr w:rsidR="00175401" w14:paraId="4B9D8150" w14:textId="77777777" w:rsidTr="0013508B">
        <w:tc>
          <w:tcPr>
            <w:tcW w:w="4496" w:type="dxa"/>
            <w:tcBorders>
              <w:top w:val="nil"/>
              <w:left w:val="nil"/>
              <w:bottom w:val="nil"/>
              <w:right w:val="nil"/>
            </w:tcBorders>
          </w:tcPr>
          <w:p w14:paraId="6995DEE6" w14:textId="77777777" w:rsidR="00175401" w:rsidRDefault="00175401" w:rsidP="00175401">
            <w:pPr>
              <w:tabs>
                <w:tab w:val="left" w:pos="567"/>
                <w:tab w:val="left" w:pos="2268"/>
              </w:tabs>
              <w:jc w:val="both"/>
              <w:rPr>
                <w:rFonts w:ascii="Garamond" w:hAnsi="Garamond"/>
                <w:sz w:val="22"/>
                <w:u w:val="single"/>
                <w:lang w:val="fr-BE"/>
              </w:rPr>
            </w:pPr>
          </w:p>
        </w:tc>
        <w:tc>
          <w:tcPr>
            <w:tcW w:w="324" w:type="dxa"/>
            <w:tcBorders>
              <w:top w:val="nil"/>
              <w:left w:val="nil"/>
              <w:bottom w:val="nil"/>
              <w:right w:val="nil"/>
            </w:tcBorders>
          </w:tcPr>
          <w:p w14:paraId="359514C4" w14:textId="77777777" w:rsidR="00175401" w:rsidRDefault="00175401"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334A7CAB" w14:textId="77777777" w:rsidR="00175401" w:rsidRPr="005A1493" w:rsidRDefault="00175401" w:rsidP="00175401">
            <w:pPr>
              <w:tabs>
                <w:tab w:val="left" w:pos="2410"/>
              </w:tabs>
              <w:jc w:val="both"/>
              <w:rPr>
                <w:rFonts w:ascii="Garamond" w:hAnsi="Garamond"/>
                <w:sz w:val="22"/>
                <w:u w:val="single"/>
                <w:lang w:val="fr-BE"/>
              </w:rPr>
            </w:pPr>
          </w:p>
        </w:tc>
      </w:tr>
      <w:tr w:rsidR="00175401" w14:paraId="6BA35D86" w14:textId="77777777" w:rsidTr="0013508B">
        <w:tc>
          <w:tcPr>
            <w:tcW w:w="4496" w:type="dxa"/>
            <w:tcBorders>
              <w:top w:val="nil"/>
              <w:left w:val="nil"/>
              <w:bottom w:val="nil"/>
              <w:right w:val="nil"/>
            </w:tcBorders>
          </w:tcPr>
          <w:p w14:paraId="7476C80E" w14:textId="0488DF7F" w:rsidR="00175401" w:rsidRPr="00E36AE7" w:rsidRDefault="00175401" w:rsidP="00175401">
            <w:pPr>
              <w:tabs>
                <w:tab w:val="left" w:pos="567"/>
                <w:tab w:val="left" w:pos="2268"/>
              </w:tabs>
              <w:jc w:val="center"/>
              <w:rPr>
                <w:rFonts w:ascii="Garamond" w:hAnsi="Garamond"/>
                <w:sz w:val="22"/>
                <w:u w:val="single"/>
                <w:lang w:val="fr-BE"/>
              </w:rPr>
            </w:pPr>
            <w:r w:rsidRPr="005A1493">
              <w:rPr>
                <w:rFonts w:ascii="Garamond" w:hAnsi="Garamond"/>
                <w:sz w:val="22"/>
                <w:lang w:val="fr-BE"/>
              </w:rPr>
              <w:t>L</w:t>
            </w:r>
            <w:r>
              <w:rPr>
                <w:rFonts w:ascii="Garamond" w:hAnsi="Garamond"/>
                <w:sz w:val="22"/>
                <w:lang w:val="fr-BE"/>
              </w:rPr>
              <w:t>e</w:t>
            </w:r>
            <w:r w:rsidRPr="005A1493">
              <w:rPr>
                <w:rFonts w:ascii="Garamond" w:hAnsi="Garamond"/>
                <w:sz w:val="22"/>
                <w:lang w:val="fr-BE"/>
              </w:rPr>
              <w:t xml:space="preserve"> Ministre de la Santé publique</w:t>
            </w:r>
            <w:r>
              <w:rPr>
                <w:rFonts w:ascii="Garamond" w:hAnsi="Garamond"/>
                <w:sz w:val="22"/>
                <w:lang w:val="fr-BE"/>
              </w:rPr>
              <w:t>,</w:t>
            </w:r>
          </w:p>
        </w:tc>
        <w:tc>
          <w:tcPr>
            <w:tcW w:w="324" w:type="dxa"/>
            <w:tcBorders>
              <w:top w:val="nil"/>
              <w:left w:val="nil"/>
              <w:bottom w:val="nil"/>
              <w:right w:val="nil"/>
            </w:tcBorders>
          </w:tcPr>
          <w:p w14:paraId="0BE5B3CE" w14:textId="77777777" w:rsidR="00175401" w:rsidRPr="00E36AE7" w:rsidRDefault="00175401" w:rsidP="00175401">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062F9CE9" w14:textId="2F2EF8D3" w:rsidR="00175401" w:rsidRPr="005A1493" w:rsidRDefault="00175401" w:rsidP="00175401">
            <w:pPr>
              <w:tabs>
                <w:tab w:val="left" w:pos="2410"/>
              </w:tabs>
              <w:jc w:val="center"/>
              <w:rPr>
                <w:rFonts w:ascii="Garamond" w:hAnsi="Garamond"/>
                <w:sz w:val="22"/>
                <w:u w:val="single"/>
                <w:lang w:val="fr-BE"/>
              </w:rPr>
            </w:pPr>
            <w:r w:rsidRPr="00B022BA">
              <w:rPr>
                <w:rFonts w:ascii="Garamond" w:hAnsi="Garamond"/>
                <w:sz w:val="22"/>
                <w:lang w:val="nl-BE"/>
              </w:rPr>
              <w:t>De Minister van Volksgezondheid</w:t>
            </w:r>
            <w:r w:rsidRPr="005A1493">
              <w:rPr>
                <w:rFonts w:ascii="Garamond" w:hAnsi="Garamond"/>
                <w:sz w:val="22"/>
                <w:lang w:val="fr-BE"/>
              </w:rPr>
              <w:t>,</w:t>
            </w:r>
          </w:p>
        </w:tc>
      </w:tr>
      <w:tr w:rsidR="00175401" w14:paraId="7ECA36FF" w14:textId="77777777" w:rsidTr="00997685">
        <w:trPr>
          <w:trHeight w:val="2832"/>
        </w:trPr>
        <w:tc>
          <w:tcPr>
            <w:tcW w:w="9283" w:type="dxa"/>
            <w:gridSpan w:val="3"/>
            <w:tcBorders>
              <w:top w:val="nil"/>
              <w:left w:val="nil"/>
              <w:bottom w:val="nil"/>
              <w:right w:val="nil"/>
            </w:tcBorders>
          </w:tcPr>
          <w:p w14:paraId="529D45DA" w14:textId="77777777" w:rsidR="00175401" w:rsidRDefault="00175401" w:rsidP="00175401">
            <w:pPr>
              <w:tabs>
                <w:tab w:val="left" w:pos="567"/>
                <w:tab w:val="left" w:pos="2268"/>
              </w:tabs>
              <w:rPr>
                <w:rFonts w:ascii="Garamond" w:hAnsi="Garamond"/>
                <w:sz w:val="22"/>
                <w:lang w:val="fr-BE"/>
              </w:rPr>
            </w:pPr>
          </w:p>
          <w:p w14:paraId="17A79B98" w14:textId="4BA2FE99" w:rsidR="00175401" w:rsidRDefault="00175401" w:rsidP="00175401">
            <w:pPr>
              <w:tabs>
                <w:tab w:val="left" w:pos="567"/>
                <w:tab w:val="left" w:pos="2268"/>
              </w:tabs>
              <w:rPr>
                <w:rFonts w:ascii="Garamond" w:hAnsi="Garamond"/>
                <w:sz w:val="22"/>
                <w:lang w:val="fr-BE"/>
              </w:rPr>
            </w:pPr>
          </w:p>
          <w:p w14:paraId="470E1477" w14:textId="0233EDC1" w:rsidR="00175401" w:rsidRDefault="00175401" w:rsidP="00175401">
            <w:pPr>
              <w:tabs>
                <w:tab w:val="left" w:pos="567"/>
                <w:tab w:val="left" w:pos="2268"/>
              </w:tabs>
              <w:rPr>
                <w:rFonts w:ascii="Garamond" w:hAnsi="Garamond"/>
                <w:sz w:val="22"/>
                <w:lang w:val="fr-BE"/>
              </w:rPr>
            </w:pPr>
          </w:p>
          <w:p w14:paraId="1D34B465" w14:textId="77777777" w:rsidR="00175401" w:rsidRDefault="00175401" w:rsidP="00175401">
            <w:pPr>
              <w:tabs>
                <w:tab w:val="left" w:pos="567"/>
                <w:tab w:val="left" w:pos="2268"/>
              </w:tabs>
              <w:rPr>
                <w:rFonts w:ascii="Garamond" w:hAnsi="Garamond"/>
                <w:sz w:val="22"/>
                <w:lang w:val="fr-BE"/>
              </w:rPr>
            </w:pPr>
          </w:p>
          <w:p w14:paraId="1408E472" w14:textId="77777777" w:rsidR="00175401" w:rsidRDefault="00175401" w:rsidP="00175401">
            <w:pPr>
              <w:tabs>
                <w:tab w:val="left" w:pos="567"/>
                <w:tab w:val="left" w:pos="2268"/>
              </w:tabs>
              <w:rPr>
                <w:rFonts w:ascii="Garamond" w:hAnsi="Garamond"/>
                <w:sz w:val="22"/>
                <w:lang w:val="fr-BE"/>
              </w:rPr>
            </w:pPr>
          </w:p>
          <w:p w14:paraId="3430B52B" w14:textId="77777777" w:rsidR="00175401" w:rsidRDefault="00175401" w:rsidP="00175401">
            <w:pPr>
              <w:tabs>
                <w:tab w:val="left" w:pos="567"/>
                <w:tab w:val="left" w:pos="2268"/>
              </w:tabs>
              <w:rPr>
                <w:rFonts w:ascii="Garamond" w:hAnsi="Garamond"/>
                <w:sz w:val="22"/>
                <w:lang w:val="fr-BE"/>
              </w:rPr>
            </w:pPr>
          </w:p>
          <w:p w14:paraId="7AFE0CF5" w14:textId="6CBEC96B" w:rsidR="00175401" w:rsidRDefault="00175401" w:rsidP="00175401">
            <w:pPr>
              <w:tabs>
                <w:tab w:val="left" w:pos="356"/>
                <w:tab w:val="left" w:pos="567"/>
                <w:tab w:val="left" w:pos="2268"/>
              </w:tabs>
              <w:jc w:val="center"/>
              <w:rPr>
                <w:rFonts w:ascii="Garamond" w:hAnsi="Garamond"/>
                <w:sz w:val="22"/>
              </w:rPr>
            </w:pPr>
          </w:p>
          <w:p w14:paraId="6074FE7A" w14:textId="03536CA9" w:rsidR="00175401" w:rsidRDefault="00175401" w:rsidP="00175401">
            <w:pPr>
              <w:tabs>
                <w:tab w:val="left" w:pos="356"/>
                <w:tab w:val="left" w:pos="567"/>
                <w:tab w:val="left" w:pos="2268"/>
              </w:tabs>
              <w:rPr>
                <w:rFonts w:ascii="Garamond" w:hAnsi="Garamond"/>
                <w:sz w:val="22"/>
              </w:rPr>
            </w:pPr>
          </w:p>
          <w:p w14:paraId="327C36CF" w14:textId="77777777" w:rsidR="00175401" w:rsidRPr="00CC51E7" w:rsidRDefault="00175401" w:rsidP="00175401">
            <w:pPr>
              <w:tabs>
                <w:tab w:val="left" w:pos="356"/>
                <w:tab w:val="left" w:pos="567"/>
                <w:tab w:val="left" w:pos="2268"/>
              </w:tabs>
              <w:jc w:val="center"/>
              <w:rPr>
                <w:rFonts w:ascii="Garamond" w:hAnsi="Garamond"/>
                <w:sz w:val="22"/>
              </w:rPr>
            </w:pPr>
          </w:p>
          <w:p w14:paraId="7F440E7B" w14:textId="77777777" w:rsidR="00175401" w:rsidRPr="00CC51E7" w:rsidRDefault="00175401" w:rsidP="00175401">
            <w:pPr>
              <w:tabs>
                <w:tab w:val="left" w:pos="356"/>
                <w:tab w:val="left" w:pos="567"/>
                <w:tab w:val="left" w:pos="2268"/>
              </w:tabs>
              <w:jc w:val="center"/>
              <w:rPr>
                <w:rFonts w:ascii="Garamond" w:hAnsi="Garamond"/>
                <w:sz w:val="22"/>
              </w:rPr>
            </w:pPr>
          </w:p>
          <w:p w14:paraId="2C542DE6" w14:textId="77777777" w:rsidR="00175401" w:rsidRPr="00CC51E7" w:rsidRDefault="00175401" w:rsidP="00175401">
            <w:pPr>
              <w:tabs>
                <w:tab w:val="left" w:pos="356"/>
                <w:tab w:val="left" w:pos="567"/>
                <w:tab w:val="left" w:pos="2268"/>
              </w:tabs>
              <w:rPr>
                <w:rFonts w:ascii="Garamond" w:hAnsi="Garamond"/>
                <w:sz w:val="22"/>
              </w:rPr>
            </w:pPr>
          </w:p>
          <w:p w14:paraId="1BDC2F93" w14:textId="77777777" w:rsidR="00175401" w:rsidRDefault="00175401" w:rsidP="00175401">
            <w:pPr>
              <w:tabs>
                <w:tab w:val="left" w:pos="567"/>
                <w:tab w:val="left" w:pos="2268"/>
              </w:tabs>
              <w:jc w:val="center"/>
              <w:rPr>
                <w:rFonts w:ascii="Garamond" w:hAnsi="Garamond"/>
                <w:sz w:val="22"/>
                <w:lang w:val="fr-BE"/>
              </w:rPr>
            </w:pPr>
            <w:r>
              <w:rPr>
                <w:rFonts w:ascii="Garamond" w:hAnsi="Garamond"/>
                <w:sz w:val="22"/>
                <w:lang w:val="fr-BE"/>
              </w:rPr>
              <w:t>Frank VANDENBROUCKE</w:t>
            </w:r>
          </w:p>
          <w:p w14:paraId="3060708A" w14:textId="624F6B81" w:rsidR="00175401" w:rsidRPr="00FD3692" w:rsidRDefault="00175401" w:rsidP="00175401">
            <w:pPr>
              <w:tabs>
                <w:tab w:val="left" w:pos="567"/>
                <w:tab w:val="left" w:pos="2268"/>
              </w:tabs>
              <w:jc w:val="center"/>
              <w:rPr>
                <w:rFonts w:ascii="Garamond" w:hAnsi="Garamond"/>
                <w:sz w:val="22"/>
                <w:lang w:val="fr-BE"/>
              </w:rPr>
            </w:pPr>
          </w:p>
        </w:tc>
      </w:tr>
      <w:tr w:rsidR="00175401" w14:paraId="536B3FB9" w14:textId="77777777" w:rsidTr="005C046A">
        <w:tc>
          <w:tcPr>
            <w:tcW w:w="4496" w:type="dxa"/>
            <w:tcBorders>
              <w:top w:val="nil"/>
              <w:left w:val="nil"/>
              <w:bottom w:val="nil"/>
              <w:right w:val="nil"/>
            </w:tcBorders>
          </w:tcPr>
          <w:p w14:paraId="508800D8" w14:textId="5FD15F24" w:rsidR="00175401" w:rsidRPr="00B022BA" w:rsidRDefault="00175401" w:rsidP="00175401">
            <w:pPr>
              <w:tabs>
                <w:tab w:val="left" w:pos="567"/>
                <w:tab w:val="left" w:pos="2268"/>
              </w:tabs>
              <w:jc w:val="center"/>
              <w:rPr>
                <w:rFonts w:ascii="Garamond" w:hAnsi="Garamond"/>
                <w:sz w:val="22"/>
                <w:u w:val="single"/>
                <w:lang w:val="nl-BE"/>
              </w:rPr>
            </w:pPr>
            <w:r w:rsidRPr="005A1493">
              <w:rPr>
                <w:rFonts w:ascii="Garamond" w:hAnsi="Garamond"/>
                <w:sz w:val="22"/>
                <w:lang w:val="fr-BE"/>
              </w:rPr>
              <w:t>L</w:t>
            </w:r>
            <w:r>
              <w:rPr>
                <w:rFonts w:ascii="Garamond" w:hAnsi="Garamond"/>
                <w:sz w:val="22"/>
                <w:lang w:val="fr-BE"/>
              </w:rPr>
              <w:t>e</w:t>
            </w:r>
            <w:r w:rsidRPr="005A1493">
              <w:rPr>
                <w:rFonts w:ascii="Garamond" w:hAnsi="Garamond"/>
                <w:sz w:val="22"/>
                <w:lang w:val="fr-BE"/>
              </w:rPr>
              <w:t xml:space="preserve"> Ministre de l</w:t>
            </w:r>
            <w:r>
              <w:rPr>
                <w:rFonts w:ascii="Garamond" w:hAnsi="Garamond"/>
                <w:sz w:val="22"/>
                <w:lang w:val="fr-BE"/>
              </w:rPr>
              <w:t>’Agriculture,</w:t>
            </w:r>
          </w:p>
        </w:tc>
        <w:tc>
          <w:tcPr>
            <w:tcW w:w="324" w:type="dxa"/>
            <w:tcBorders>
              <w:top w:val="nil"/>
              <w:left w:val="nil"/>
              <w:bottom w:val="nil"/>
              <w:right w:val="nil"/>
            </w:tcBorders>
          </w:tcPr>
          <w:p w14:paraId="0C954CFE" w14:textId="77777777" w:rsidR="00175401" w:rsidRPr="00B022BA" w:rsidRDefault="00175401" w:rsidP="00175401">
            <w:pPr>
              <w:tabs>
                <w:tab w:val="left" w:pos="2410"/>
              </w:tabs>
              <w:jc w:val="both"/>
              <w:rPr>
                <w:rFonts w:ascii="Garamond" w:hAnsi="Garamond"/>
                <w:sz w:val="22"/>
                <w:u w:val="single"/>
                <w:lang w:val="nl-BE"/>
              </w:rPr>
            </w:pPr>
          </w:p>
        </w:tc>
        <w:tc>
          <w:tcPr>
            <w:tcW w:w="4463" w:type="dxa"/>
            <w:tcBorders>
              <w:top w:val="nil"/>
              <w:left w:val="nil"/>
              <w:bottom w:val="nil"/>
              <w:right w:val="nil"/>
            </w:tcBorders>
          </w:tcPr>
          <w:p w14:paraId="56B75CAD" w14:textId="476B098D" w:rsidR="00175401" w:rsidRPr="005A1493" w:rsidRDefault="00175401" w:rsidP="00175401">
            <w:pPr>
              <w:tabs>
                <w:tab w:val="left" w:pos="2410"/>
              </w:tabs>
              <w:jc w:val="center"/>
              <w:rPr>
                <w:rFonts w:ascii="Garamond" w:hAnsi="Garamond"/>
                <w:sz w:val="22"/>
                <w:u w:val="single"/>
                <w:lang w:val="fr-BE"/>
              </w:rPr>
            </w:pPr>
            <w:r w:rsidRPr="00B022BA">
              <w:rPr>
                <w:rFonts w:ascii="Garamond" w:hAnsi="Garamond"/>
                <w:sz w:val="22"/>
                <w:lang w:val="nl-BE"/>
              </w:rPr>
              <w:t xml:space="preserve">De Minister van </w:t>
            </w:r>
            <w:r>
              <w:rPr>
                <w:rFonts w:ascii="Garamond" w:hAnsi="Garamond"/>
                <w:sz w:val="22"/>
                <w:lang w:val="nl-BE"/>
              </w:rPr>
              <w:t>Landbouw</w:t>
            </w:r>
            <w:r w:rsidRPr="005A1493">
              <w:rPr>
                <w:rFonts w:ascii="Garamond" w:hAnsi="Garamond"/>
                <w:sz w:val="22"/>
                <w:lang w:val="fr-BE"/>
              </w:rPr>
              <w:t>,</w:t>
            </w:r>
          </w:p>
        </w:tc>
      </w:tr>
      <w:tr w:rsidR="00175401" w14:paraId="716DD67B" w14:textId="77777777" w:rsidTr="00997685">
        <w:trPr>
          <w:cantSplit/>
          <w:trHeight w:val="2723"/>
        </w:trPr>
        <w:tc>
          <w:tcPr>
            <w:tcW w:w="9283" w:type="dxa"/>
            <w:gridSpan w:val="3"/>
            <w:tcBorders>
              <w:top w:val="nil"/>
              <w:left w:val="nil"/>
              <w:bottom w:val="nil"/>
              <w:right w:val="nil"/>
            </w:tcBorders>
          </w:tcPr>
          <w:p w14:paraId="2C44F108" w14:textId="77777777" w:rsidR="00175401" w:rsidRDefault="00175401" w:rsidP="00175401">
            <w:pPr>
              <w:tabs>
                <w:tab w:val="left" w:pos="567"/>
                <w:tab w:val="left" w:pos="2268"/>
              </w:tabs>
              <w:jc w:val="center"/>
              <w:rPr>
                <w:rFonts w:ascii="Garamond" w:hAnsi="Garamond"/>
                <w:sz w:val="22"/>
                <w:lang w:val="fr-BE"/>
              </w:rPr>
            </w:pPr>
          </w:p>
          <w:p w14:paraId="779959EA" w14:textId="09F951C7" w:rsidR="00175401" w:rsidRDefault="00175401" w:rsidP="00175401">
            <w:pPr>
              <w:tabs>
                <w:tab w:val="left" w:pos="567"/>
                <w:tab w:val="left" w:pos="2268"/>
              </w:tabs>
              <w:jc w:val="center"/>
              <w:rPr>
                <w:rFonts w:ascii="Garamond" w:hAnsi="Garamond"/>
                <w:sz w:val="22"/>
                <w:lang w:val="fr-BE"/>
              </w:rPr>
            </w:pPr>
          </w:p>
          <w:p w14:paraId="3CC2E38F" w14:textId="77777777" w:rsidR="00175401" w:rsidRDefault="00175401" w:rsidP="00175401">
            <w:pPr>
              <w:tabs>
                <w:tab w:val="left" w:pos="567"/>
                <w:tab w:val="left" w:pos="2268"/>
              </w:tabs>
              <w:jc w:val="center"/>
              <w:rPr>
                <w:rFonts w:ascii="Garamond" w:hAnsi="Garamond"/>
                <w:sz w:val="22"/>
                <w:lang w:val="fr-BE"/>
              </w:rPr>
            </w:pPr>
          </w:p>
          <w:p w14:paraId="238EB2F8" w14:textId="77777777" w:rsidR="00175401" w:rsidRDefault="00175401" w:rsidP="00175401">
            <w:pPr>
              <w:tabs>
                <w:tab w:val="left" w:pos="567"/>
                <w:tab w:val="left" w:pos="2268"/>
              </w:tabs>
              <w:jc w:val="center"/>
              <w:rPr>
                <w:rFonts w:ascii="Garamond" w:hAnsi="Garamond"/>
                <w:sz w:val="22"/>
                <w:lang w:val="fr-BE"/>
              </w:rPr>
            </w:pPr>
          </w:p>
          <w:p w14:paraId="787B7B70" w14:textId="6919C99B" w:rsidR="00175401" w:rsidRDefault="00175401" w:rsidP="00175401">
            <w:pPr>
              <w:tabs>
                <w:tab w:val="left" w:pos="567"/>
                <w:tab w:val="left" w:pos="2268"/>
              </w:tabs>
              <w:jc w:val="center"/>
              <w:rPr>
                <w:rFonts w:ascii="Garamond" w:hAnsi="Garamond"/>
                <w:sz w:val="22"/>
                <w:lang w:val="fr-BE"/>
              </w:rPr>
            </w:pPr>
          </w:p>
          <w:p w14:paraId="1D5829C9" w14:textId="77777777" w:rsidR="00175401" w:rsidRDefault="00175401" w:rsidP="00175401">
            <w:pPr>
              <w:tabs>
                <w:tab w:val="left" w:pos="567"/>
                <w:tab w:val="left" w:pos="2268"/>
              </w:tabs>
              <w:jc w:val="center"/>
              <w:rPr>
                <w:rFonts w:ascii="Garamond" w:hAnsi="Garamond"/>
                <w:sz w:val="22"/>
                <w:lang w:val="fr-BE"/>
              </w:rPr>
            </w:pPr>
          </w:p>
          <w:p w14:paraId="65B2F755" w14:textId="1DC52FC5" w:rsidR="00175401" w:rsidRDefault="00175401" w:rsidP="00175401">
            <w:pPr>
              <w:tabs>
                <w:tab w:val="left" w:pos="567"/>
                <w:tab w:val="left" w:pos="2268"/>
              </w:tabs>
              <w:jc w:val="center"/>
              <w:rPr>
                <w:rFonts w:ascii="Garamond" w:hAnsi="Garamond"/>
                <w:sz w:val="22"/>
                <w:lang w:val="fr-BE"/>
              </w:rPr>
            </w:pPr>
          </w:p>
          <w:p w14:paraId="30C64F31" w14:textId="77777777" w:rsidR="00175401" w:rsidRDefault="00175401" w:rsidP="00175401">
            <w:pPr>
              <w:tabs>
                <w:tab w:val="left" w:pos="567"/>
                <w:tab w:val="left" w:pos="2268"/>
              </w:tabs>
              <w:jc w:val="center"/>
              <w:rPr>
                <w:rFonts w:ascii="Garamond" w:hAnsi="Garamond"/>
                <w:sz w:val="22"/>
                <w:lang w:val="fr-BE"/>
              </w:rPr>
            </w:pPr>
          </w:p>
          <w:p w14:paraId="0670C529" w14:textId="77777777" w:rsidR="00175401" w:rsidRDefault="00175401" w:rsidP="00175401">
            <w:pPr>
              <w:tabs>
                <w:tab w:val="left" w:pos="567"/>
                <w:tab w:val="left" w:pos="2268"/>
              </w:tabs>
              <w:jc w:val="center"/>
              <w:rPr>
                <w:rFonts w:ascii="Garamond" w:hAnsi="Garamond"/>
                <w:sz w:val="22"/>
                <w:lang w:val="fr-BE"/>
              </w:rPr>
            </w:pPr>
          </w:p>
          <w:p w14:paraId="08D109BF" w14:textId="14D15550" w:rsidR="00175401" w:rsidRDefault="00175401" w:rsidP="00175401">
            <w:pPr>
              <w:tabs>
                <w:tab w:val="left" w:pos="567"/>
                <w:tab w:val="left" w:pos="2268"/>
              </w:tabs>
              <w:jc w:val="center"/>
              <w:rPr>
                <w:rFonts w:ascii="Garamond" w:hAnsi="Garamond"/>
                <w:sz w:val="22"/>
                <w:lang w:val="fr-BE"/>
              </w:rPr>
            </w:pPr>
          </w:p>
          <w:p w14:paraId="3DC2A086" w14:textId="77777777" w:rsidR="00175401" w:rsidRDefault="00175401" w:rsidP="00175401">
            <w:pPr>
              <w:tabs>
                <w:tab w:val="left" w:pos="567"/>
                <w:tab w:val="left" w:pos="2268"/>
              </w:tabs>
              <w:jc w:val="center"/>
              <w:rPr>
                <w:rFonts w:ascii="Garamond" w:hAnsi="Garamond"/>
                <w:sz w:val="22"/>
                <w:lang w:val="fr-BE"/>
              </w:rPr>
            </w:pPr>
          </w:p>
          <w:p w14:paraId="0A120C48" w14:textId="652F82EE" w:rsidR="00175401" w:rsidRDefault="00175401" w:rsidP="00175401">
            <w:pPr>
              <w:tabs>
                <w:tab w:val="left" w:pos="567"/>
                <w:tab w:val="left" w:pos="2268"/>
              </w:tabs>
              <w:jc w:val="center"/>
              <w:rPr>
                <w:rFonts w:ascii="Garamond" w:hAnsi="Garamond"/>
                <w:sz w:val="22"/>
                <w:lang w:val="fr-BE"/>
              </w:rPr>
            </w:pPr>
            <w:r>
              <w:rPr>
                <w:rFonts w:ascii="Garamond" w:hAnsi="Garamond"/>
                <w:sz w:val="22"/>
                <w:lang w:val="fr-BE"/>
              </w:rPr>
              <w:t>David CLARINVAL</w:t>
            </w:r>
          </w:p>
        </w:tc>
      </w:tr>
    </w:tbl>
    <w:p w14:paraId="07B5FD49" w14:textId="08C41392" w:rsidR="00B248A6" w:rsidRDefault="00B248A6" w:rsidP="00E36AE7">
      <w:pPr>
        <w:tabs>
          <w:tab w:val="left" w:pos="356"/>
          <w:tab w:val="left" w:pos="567"/>
          <w:tab w:val="left" w:pos="2268"/>
        </w:tabs>
        <w:jc w:val="both"/>
        <w:rPr>
          <w:rFonts w:ascii="Garamond" w:hAnsi="Garamond"/>
          <w:sz w:val="22"/>
          <w:lang w:val="fr-BE"/>
        </w:rPr>
      </w:pPr>
    </w:p>
    <w:sectPr w:rsidR="00B248A6">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8DCF" w14:textId="77777777" w:rsidR="00F12087" w:rsidRDefault="00F12087" w:rsidP="00B022BA">
      <w:r>
        <w:separator/>
      </w:r>
    </w:p>
  </w:endnote>
  <w:endnote w:type="continuationSeparator" w:id="0">
    <w:p w14:paraId="787C1280" w14:textId="77777777" w:rsidR="00F12087" w:rsidRDefault="00F12087" w:rsidP="00B0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0B47" w14:textId="77777777" w:rsidR="004B7D74" w:rsidRDefault="004B7D7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550A433" w14:textId="77777777" w:rsidR="004B7D74" w:rsidRDefault="004B7D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78651"/>
      <w:docPartObj>
        <w:docPartGallery w:val="Page Numbers (Bottom of Page)"/>
        <w:docPartUnique/>
      </w:docPartObj>
    </w:sdtPr>
    <w:sdtEndPr/>
    <w:sdtContent>
      <w:p w14:paraId="4D680239" w14:textId="79E6F284" w:rsidR="004B7D74" w:rsidRDefault="004B7D74">
        <w:pPr>
          <w:pStyle w:val="Pieddepage"/>
          <w:jc w:val="center"/>
        </w:pPr>
        <w:r>
          <w:fldChar w:fldCharType="begin"/>
        </w:r>
        <w:r>
          <w:instrText>PAGE   \* MERGEFORMAT</w:instrText>
        </w:r>
        <w:r>
          <w:fldChar w:fldCharType="separate"/>
        </w:r>
        <w:r w:rsidR="008F603D">
          <w:rPr>
            <w:noProof/>
          </w:rPr>
          <w:t>7</w:t>
        </w:r>
        <w:r>
          <w:fldChar w:fldCharType="end"/>
        </w:r>
      </w:p>
    </w:sdtContent>
  </w:sdt>
  <w:p w14:paraId="06254837" w14:textId="06823CED" w:rsidR="004B7D74" w:rsidRDefault="004B7D74">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F871" w14:textId="77777777" w:rsidR="00F12087" w:rsidRDefault="00F12087" w:rsidP="00B022BA">
      <w:r>
        <w:separator/>
      </w:r>
    </w:p>
  </w:footnote>
  <w:footnote w:type="continuationSeparator" w:id="0">
    <w:p w14:paraId="30A1A824" w14:textId="77777777" w:rsidR="00F12087" w:rsidRDefault="00F12087" w:rsidP="00B0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FE42" w14:textId="77777777" w:rsidR="004B7D74" w:rsidRDefault="004B7D7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CCFA61" w14:textId="77777777" w:rsidR="004B7D74" w:rsidRDefault="004B7D7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1D22" w14:textId="44AC6336" w:rsidR="004B7D74" w:rsidRPr="000D5117" w:rsidRDefault="004B7D74">
    <w:pPr>
      <w:pStyle w:val="En-tte"/>
      <w:ind w:right="360"/>
      <w:rPr>
        <w: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379"/>
    <w:multiLevelType w:val="hybridMultilevel"/>
    <w:tmpl w:val="31527208"/>
    <w:lvl w:ilvl="0" w:tplc="7444C8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78367F"/>
    <w:multiLevelType w:val="hybridMultilevel"/>
    <w:tmpl w:val="1BF87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8AE"/>
    <w:multiLevelType w:val="hybridMultilevel"/>
    <w:tmpl w:val="C18E0E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1D2054"/>
    <w:multiLevelType w:val="hybridMultilevel"/>
    <w:tmpl w:val="6A4EA39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9915F1"/>
    <w:multiLevelType w:val="hybridMultilevel"/>
    <w:tmpl w:val="6734C832"/>
    <w:lvl w:ilvl="0" w:tplc="75A4ACB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8D5561E"/>
    <w:multiLevelType w:val="hybridMultilevel"/>
    <w:tmpl w:val="A194217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656277"/>
    <w:multiLevelType w:val="hybridMultilevel"/>
    <w:tmpl w:val="3ECA4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315D"/>
    <w:multiLevelType w:val="hybridMultilevel"/>
    <w:tmpl w:val="2D9067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456025B"/>
    <w:multiLevelType w:val="hybridMultilevel"/>
    <w:tmpl w:val="B7221B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74334DA"/>
    <w:multiLevelType w:val="hybridMultilevel"/>
    <w:tmpl w:val="CA0A6AAE"/>
    <w:lvl w:ilvl="0" w:tplc="64A6CD54">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A24CA"/>
    <w:multiLevelType w:val="hybridMultilevel"/>
    <w:tmpl w:val="5D70024A"/>
    <w:lvl w:ilvl="0" w:tplc="C9428504">
      <w:start w:val="5"/>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6E6074"/>
    <w:multiLevelType w:val="hybridMultilevel"/>
    <w:tmpl w:val="007CE880"/>
    <w:lvl w:ilvl="0" w:tplc="838E51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66378C2"/>
    <w:multiLevelType w:val="hybridMultilevel"/>
    <w:tmpl w:val="3E34D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36729"/>
    <w:multiLevelType w:val="hybridMultilevel"/>
    <w:tmpl w:val="7C7296E6"/>
    <w:lvl w:ilvl="0" w:tplc="77267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A5E1C"/>
    <w:multiLevelType w:val="hybridMultilevel"/>
    <w:tmpl w:val="15A607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C4A4007"/>
    <w:multiLevelType w:val="hybridMultilevel"/>
    <w:tmpl w:val="5EF2E6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C5852C9"/>
    <w:multiLevelType w:val="hybridMultilevel"/>
    <w:tmpl w:val="D44E7592"/>
    <w:lvl w:ilvl="0" w:tplc="6B9CB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806EF"/>
    <w:multiLevelType w:val="hybridMultilevel"/>
    <w:tmpl w:val="AE6C11B0"/>
    <w:lvl w:ilvl="0" w:tplc="5C64E5E2">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2F22489"/>
    <w:multiLevelType w:val="hybridMultilevel"/>
    <w:tmpl w:val="D4B8227E"/>
    <w:lvl w:ilvl="0" w:tplc="84D8EF10">
      <w:start w:val="1"/>
      <w:numFmt w:val="lowerLetter"/>
      <w:lvlText w:val="%1)"/>
      <w:lvlJc w:val="left"/>
      <w:pPr>
        <w:ind w:left="825" w:hanging="46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F1705DD"/>
    <w:multiLevelType w:val="hybridMultilevel"/>
    <w:tmpl w:val="659808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0C57CAE"/>
    <w:multiLevelType w:val="hybridMultilevel"/>
    <w:tmpl w:val="770EDC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D9A4BA9"/>
    <w:multiLevelType w:val="hybridMultilevel"/>
    <w:tmpl w:val="5420AB5C"/>
    <w:lvl w:ilvl="0" w:tplc="80BC3CA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0"/>
  </w:num>
  <w:num w:numId="5">
    <w:abstractNumId w:val="10"/>
  </w:num>
  <w:num w:numId="6">
    <w:abstractNumId w:val="4"/>
  </w:num>
  <w:num w:numId="7">
    <w:abstractNumId w:val="21"/>
  </w:num>
  <w:num w:numId="8">
    <w:abstractNumId w:val="11"/>
  </w:num>
  <w:num w:numId="9">
    <w:abstractNumId w:val="15"/>
  </w:num>
  <w:num w:numId="10">
    <w:abstractNumId w:val="18"/>
  </w:num>
  <w:num w:numId="11">
    <w:abstractNumId w:val="14"/>
  </w:num>
  <w:num w:numId="12">
    <w:abstractNumId w:val="5"/>
  </w:num>
  <w:num w:numId="13">
    <w:abstractNumId w:val="7"/>
  </w:num>
  <w:num w:numId="14">
    <w:abstractNumId w:val="8"/>
  </w:num>
  <w:num w:numId="15">
    <w:abstractNumId w:val="3"/>
  </w:num>
  <w:num w:numId="16">
    <w:abstractNumId w:val="2"/>
  </w:num>
  <w:num w:numId="17">
    <w:abstractNumId w:val="12"/>
  </w:num>
  <w:num w:numId="18">
    <w:abstractNumId w:val="6"/>
  </w:num>
  <w:num w:numId="19">
    <w:abstractNumId w:val="1"/>
  </w:num>
  <w:num w:numId="20">
    <w:abstractNumId w:val="1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BA"/>
    <w:rsid w:val="00000298"/>
    <w:rsid w:val="00000530"/>
    <w:rsid w:val="0001123D"/>
    <w:rsid w:val="0001322C"/>
    <w:rsid w:val="00022AC6"/>
    <w:rsid w:val="00022F84"/>
    <w:rsid w:val="00026468"/>
    <w:rsid w:val="00027B15"/>
    <w:rsid w:val="00030852"/>
    <w:rsid w:val="00031843"/>
    <w:rsid w:val="0003485F"/>
    <w:rsid w:val="00034B43"/>
    <w:rsid w:val="00044F57"/>
    <w:rsid w:val="0004676A"/>
    <w:rsid w:val="0004694F"/>
    <w:rsid w:val="0005075B"/>
    <w:rsid w:val="000527EE"/>
    <w:rsid w:val="000528CD"/>
    <w:rsid w:val="0005310E"/>
    <w:rsid w:val="000576BF"/>
    <w:rsid w:val="00063362"/>
    <w:rsid w:val="00064E40"/>
    <w:rsid w:val="000727DD"/>
    <w:rsid w:val="00072C53"/>
    <w:rsid w:val="0007371E"/>
    <w:rsid w:val="00075321"/>
    <w:rsid w:val="00075A35"/>
    <w:rsid w:val="00075CB8"/>
    <w:rsid w:val="000812D2"/>
    <w:rsid w:val="000813CB"/>
    <w:rsid w:val="00081652"/>
    <w:rsid w:val="00082215"/>
    <w:rsid w:val="000834F3"/>
    <w:rsid w:val="00083E7E"/>
    <w:rsid w:val="00086D72"/>
    <w:rsid w:val="000936AF"/>
    <w:rsid w:val="00093D0B"/>
    <w:rsid w:val="00095432"/>
    <w:rsid w:val="00095953"/>
    <w:rsid w:val="000A12F3"/>
    <w:rsid w:val="000A39D1"/>
    <w:rsid w:val="000A5F92"/>
    <w:rsid w:val="000B2645"/>
    <w:rsid w:val="000C0D0A"/>
    <w:rsid w:val="000D0FB4"/>
    <w:rsid w:val="000D5117"/>
    <w:rsid w:val="000E0862"/>
    <w:rsid w:val="000E12FB"/>
    <w:rsid w:val="000E3E34"/>
    <w:rsid w:val="000E5479"/>
    <w:rsid w:val="000E66D9"/>
    <w:rsid w:val="000E7EB4"/>
    <w:rsid w:val="000F0B61"/>
    <w:rsid w:val="000F4E74"/>
    <w:rsid w:val="000F7467"/>
    <w:rsid w:val="00104F62"/>
    <w:rsid w:val="0010635E"/>
    <w:rsid w:val="00114D32"/>
    <w:rsid w:val="001218CB"/>
    <w:rsid w:val="00122EEB"/>
    <w:rsid w:val="00123D79"/>
    <w:rsid w:val="001244F8"/>
    <w:rsid w:val="00130403"/>
    <w:rsid w:val="00130E0F"/>
    <w:rsid w:val="00132D9B"/>
    <w:rsid w:val="0013508B"/>
    <w:rsid w:val="00135BD6"/>
    <w:rsid w:val="00152CD5"/>
    <w:rsid w:val="001642AD"/>
    <w:rsid w:val="00165A24"/>
    <w:rsid w:val="00175401"/>
    <w:rsid w:val="00175AD2"/>
    <w:rsid w:val="00177E6A"/>
    <w:rsid w:val="00181D7F"/>
    <w:rsid w:val="00181E2C"/>
    <w:rsid w:val="00182200"/>
    <w:rsid w:val="00184A2F"/>
    <w:rsid w:val="00185841"/>
    <w:rsid w:val="00185852"/>
    <w:rsid w:val="00185E4D"/>
    <w:rsid w:val="0018608D"/>
    <w:rsid w:val="00193196"/>
    <w:rsid w:val="001936AC"/>
    <w:rsid w:val="00194EA7"/>
    <w:rsid w:val="001A3C2E"/>
    <w:rsid w:val="001A487F"/>
    <w:rsid w:val="001A64B0"/>
    <w:rsid w:val="001B0E47"/>
    <w:rsid w:val="001B11D5"/>
    <w:rsid w:val="001B120F"/>
    <w:rsid w:val="001C469A"/>
    <w:rsid w:val="001D2C3F"/>
    <w:rsid w:val="001D2CA2"/>
    <w:rsid w:val="001D5703"/>
    <w:rsid w:val="001D7D89"/>
    <w:rsid w:val="001E231D"/>
    <w:rsid w:val="001F0B35"/>
    <w:rsid w:val="001F0E3E"/>
    <w:rsid w:val="001F0F13"/>
    <w:rsid w:val="001F1252"/>
    <w:rsid w:val="001F598E"/>
    <w:rsid w:val="001F7AE1"/>
    <w:rsid w:val="002004ED"/>
    <w:rsid w:val="00202F00"/>
    <w:rsid w:val="00204BF8"/>
    <w:rsid w:val="00204E3A"/>
    <w:rsid w:val="0020663A"/>
    <w:rsid w:val="00206BAF"/>
    <w:rsid w:val="00214A1B"/>
    <w:rsid w:val="00215653"/>
    <w:rsid w:val="0021601B"/>
    <w:rsid w:val="00216E5F"/>
    <w:rsid w:val="0021765A"/>
    <w:rsid w:val="00220523"/>
    <w:rsid w:val="002206AC"/>
    <w:rsid w:val="00222C8A"/>
    <w:rsid w:val="00230980"/>
    <w:rsid w:val="0023152F"/>
    <w:rsid w:val="002333B2"/>
    <w:rsid w:val="002364CF"/>
    <w:rsid w:val="002409E2"/>
    <w:rsid w:val="00240F9C"/>
    <w:rsid w:val="00243092"/>
    <w:rsid w:val="002432D3"/>
    <w:rsid w:val="00250E8F"/>
    <w:rsid w:val="00252DA2"/>
    <w:rsid w:val="002531A9"/>
    <w:rsid w:val="00253435"/>
    <w:rsid w:val="0025564E"/>
    <w:rsid w:val="00255F50"/>
    <w:rsid w:val="002571A5"/>
    <w:rsid w:val="0027151B"/>
    <w:rsid w:val="00276189"/>
    <w:rsid w:val="0028231A"/>
    <w:rsid w:val="0028509B"/>
    <w:rsid w:val="00286CF7"/>
    <w:rsid w:val="00291775"/>
    <w:rsid w:val="00293D3D"/>
    <w:rsid w:val="00295ABC"/>
    <w:rsid w:val="002A179F"/>
    <w:rsid w:val="002A3B7D"/>
    <w:rsid w:val="002A415D"/>
    <w:rsid w:val="002B1379"/>
    <w:rsid w:val="002B2C61"/>
    <w:rsid w:val="002B5F6D"/>
    <w:rsid w:val="002B6571"/>
    <w:rsid w:val="002B72E7"/>
    <w:rsid w:val="002D0C33"/>
    <w:rsid w:val="002D1698"/>
    <w:rsid w:val="002D414F"/>
    <w:rsid w:val="002D4666"/>
    <w:rsid w:val="002D4B2D"/>
    <w:rsid w:val="002D6958"/>
    <w:rsid w:val="002D72DE"/>
    <w:rsid w:val="002D73D9"/>
    <w:rsid w:val="002E4A98"/>
    <w:rsid w:val="002E7DE2"/>
    <w:rsid w:val="002F0A73"/>
    <w:rsid w:val="002F18DD"/>
    <w:rsid w:val="002F28BC"/>
    <w:rsid w:val="00301A30"/>
    <w:rsid w:val="003020D5"/>
    <w:rsid w:val="0030215F"/>
    <w:rsid w:val="0030315B"/>
    <w:rsid w:val="0030324C"/>
    <w:rsid w:val="003060D5"/>
    <w:rsid w:val="0031469E"/>
    <w:rsid w:val="003166C3"/>
    <w:rsid w:val="00317E24"/>
    <w:rsid w:val="00320784"/>
    <w:rsid w:val="00321F46"/>
    <w:rsid w:val="00324955"/>
    <w:rsid w:val="00325BE4"/>
    <w:rsid w:val="00327C18"/>
    <w:rsid w:val="0033290D"/>
    <w:rsid w:val="0033416B"/>
    <w:rsid w:val="00336225"/>
    <w:rsid w:val="0033763A"/>
    <w:rsid w:val="00337E43"/>
    <w:rsid w:val="00341D23"/>
    <w:rsid w:val="00346D57"/>
    <w:rsid w:val="00350A21"/>
    <w:rsid w:val="0036174E"/>
    <w:rsid w:val="00361ACA"/>
    <w:rsid w:val="00363CF0"/>
    <w:rsid w:val="0036444D"/>
    <w:rsid w:val="003652C7"/>
    <w:rsid w:val="003671D1"/>
    <w:rsid w:val="00371C08"/>
    <w:rsid w:val="00373091"/>
    <w:rsid w:val="0037611E"/>
    <w:rsid w:val="00376DEA"/>
    <w:rsid w:val="003772A5"/>
    <w:rsid w:val="00382536"/>
    <w:rsid w:val="00385A0A"/>
    <w:rsid w:val="0038618B"/>
    <w:rsid w:val="00392C1A"/>
    <w:rsid w:val="00393F66"/>
    <w:rsid w:val="00394C09"/>
    <w:rsid w:val="003955A7"/>
    <w:rsid w:val="00396D3D"/>
    <w:rsid w:val="003A00EE"/>
    <w:rsid w:val="003A1E63"/>
    <w:rsid w:val="003A26AA"/>
    <w:rsid w:val="003B2228"/>
    <w:rsid w:val="003B39A7"/>
    <w:rsid w:val="003B49CC"/>
    <w:rsid w:val="003B4E8D"/>
    <w:rsid w:val="003B5B5F"/>
    <w:rsid w:val="003B5B87"/>
    <w:rsid w:val="003B6972"/>
    <w:rsid w:val="003C2408"/>
    <w:rsid w:val="003C4E33"/>
    <w:rsid w:val="003C5274"/>
    <w:rsid w:val="003C61CA"/>
    <w:rsid w:val="003C7320"/>
    <w:rsid w:val="003D3A10"/>
    <w:rsid w:val="003D59CC"/>
    <w:rsid w:val="003E2B20"/>
    <w:rsid w:val="003E3CBB"/>
    <w:rsid w:val="003E5BDC"/>
    <w:rsid w:val="003E5D8F"/>
    <w:rsid w:val="003E6096"/>
    <w:rsid w:val="003F3520"/>
    <w:rsid w:val="003F4990"/>
    <w:rsid w:val="00400606"/>
    <w:rsid w:val="00400921"/>
    <w:rsid w:val="0041563F"/>
    <w:rsid w:val="00415B85"/>
    <w:rsid w:val="0041731C"/>
    <w:rsid w:val="00421ADE"/>
    <w:rsid w:val="00424A58"/>
    <w:rsid w:val="00425032"/>
    <w:rsid w:val="0042581D"/>
    <w:rsid w:val="00426B7A"/>
    <w:rsid w:val="0043055E"/>
    <w:rsid w:val="004341BA"/>
    <w:rsid w:val="00434291"/>
    <w:rsid w:val="00440DFF"/>
    <w:rsid w:val="0044181E"/>
    <w:rsid w:val="004422E2"/>
    <w:rsid w:val="0044540A"/>
    <w:rsid w:val="00445F21"/>
    <w:rsid w:val="004521C7"/>
    <w:rsid w:val="00455B64"/>
    <w:rsid w:val="00455D17"/>
    <w:rsid w:val="0045691A"/>
    <w:rsid w:val="004605C3"/>
    <w:rsid w:val="00461599"/>
    <w:rsid w:val="00462427"/>
    <w:rsid w:val="00465D2D"/>
    <w:rsid w:val="00474292"/>
    <w:rsid w:val="00474E44"/>
    <w:rsid w:val="00475FD1"/>
    <w:rsid w:val="004763D5"/>
    <w:rsid w:val="00481AE8"/>
    <w:rsid w:val="00481C6D"/>
    <w:rsid w:val="00483474"/>
    <w:rsid w:val="00492AAE"/>
    <w:rsid w:val="00495970"/>
    <w:rsid w:val="00495BF6"/>
    <w:rsid w:val="004A40DF"/>
    <w:rsid w:val="004A5524"/>
    <w:rsid w:val="004A5526"/>
    <w:rsid w:val="004A5A37"/>
    <w:rsid w:val="004A5CF5"/>
    <w:rsid w:val="004B2467"/>
    <w:rsid w:val="004B2B73"/>
    <w:rsid w:val="004B2FFD"/>
    <w:rsid w:val="004B3509"/>
    <w:rsid w:val="004B6976"/>
    <w:rsid w:val="004B7D74"/>
    <w:rsid w:val="004C2B5E"/>
    <w:rsid w:val="004C3ACD"/>
    <w:rsid w:val="004C3E80"/>
    <w:rsid w:val="004C5B69"/>
    <w:rsid w:val="004D0E22"/>
    <w:rsid w:val="004D3ED5"/>
    <w:rsid w:val="004D4078"/>
    <w:rsid w:val="004E10D5"/>
    <w:rsid w:val="004E3D06"/>
    <w:rsid w:val="004E44E2"/>
    <w:rsid w:val="004E4C72"/>
    <w:rsid w:val="004F043B"/>
    <w:rsid w:val="004F2510"/>
    <w:rsid w:val="004F5F68"/>
    <w:rsid w:val="0050067E"/>
    <w:rsid w:val="0050258E"/>
    <w:rsid w:val="00502F8E"/>
    <w:rsid w:val="00505EA5"/>
    <w:rsid w:val="00513F99"/>
    <w:rsid w:val="00514970"/>
    <w:rsid w:val="005152F2"/>
    <w:rsid w:val="00524E06"/>
    <w:rsid w:val="00535DF1"/>
    <w:rsid w:val="005401FC"/>
    <w:rsid w:val="00541764"/>
    <w:rsid w:val="0054455B"/>
    <w:rsid w:val="00546B2B"/>
    <w:rsid w:val="00550E0F"/>
    <w:rsid w:val="00552774"/>
    <w:rsid w:val="00553255"/>
    <w:rsid w:val="0055719C"/>
    <w:rsid w:val="00561A6B"/>
    <w:rsid w:val="00561F44"/>
    <w:rsid w:val="00563B90"/>
    <w:rsid w:val="00563E90"/>
    <w:rsid w:val="00564414"/>
    <w:rsid w:val="005655D7"/>
    <w:rsid w:val="005674BA"/>
    <w:rsid w:val="00572D7A"/>
    <w:rsid w:val="00573E63"/>
    <w:rsid w:val="00576669"/>
    <w:rsid w:val="0057704E"/>
    <w:rsid w:val="005845C7"/>
    <w:rsid w:val="00585324"/>
    <w:rsid w:val="0058536D"/>
    <w:rsid w:val="005860A6"/>
    <w:rsid w:val="00586339"/>
    <w:rsid w:val="005870A7"/>
    <w:rsid w:val="005935CE"/>
    <w:rsid w:val="00595707"/>
    <w:rsid w:val="005A1493"/>
    <w:rsid w:val="005A1870"/>
    <w:rsid w:val="005A2FC1"/>
    <w:rsid w:val="005A3D3D"/>
    <w:rsid w:val="005A5081"/>
    <w:rsid w:val="005A668A"/>
    <w:rsid w:val="005A7DB0"/>
    <w:rsid w:val="005B07B7"/>
    <w:rsid w:val="005B4D31"/>
    <w:rsid w:val="005C0043"/>
    <w:rsid w:val="005C046A"/>
    <w:rsid w:val="005C105D"/>
    <w:rsid w:val="005C1C9B"/>
    <w:rsid w:val="005C2310"/>
    <w:rsid w:val="005C5859"/>
    <w:rsid w:val="005D0D5E"/>
    <w:rsid w:val="005D109D"/>
    <w:rsid w:val="005D622D"/>
    <w:rsid w:val="005D74C1"/>
    <w:rsid w:val="005E0269"/>
    <w:rsid w:val="005E092E"/>
    <w:rsid w:val="005E1154"/>
    <w:rsid w:val="005E2145"/>
    <w:rsid w:val="005E3C90"/>
    <w:rsid w:val="005E5541"/>
    <w:rsid w:val="005F0860"/>
    <w:rsid w:val="005F4BBA"/>
    <w:rsid w:val="00600E65"/>
    <w:rsid w:val="00601C1F"/>
    <w:rsid w:val="006042E5"/>
    <w:rsid w:val="006044FA"/>
    <w:rsid w:val="00604DC7"/>
    <w:rsid w:val="00610820"/>
    <w:rsid w:val="00612F7E"/>
    <w:rsid w:val="0061475A"/>
    <w:rsid w:val="006173E8"/>
    <w:rsid w:val="00620516"/>
    <w:rsid w:val="00623BBE"/>
    <w:rsid w:val="00624418"/>
    <w:rsid w:val="0062589C"/>
    <w:rsid w:val="00626276"/>
    <w:rsid w:val="00627CBB"/>
    <w:rsid w:val="006312CC"/>
    <w:rsid w:val="00632F55"/>
    <w:rsid w:val="00633364"/>
    <w:rsid w:val="00633912"/>
    <w:rsid w:val="00633BC6"/>
    <w:rsid w:val="00635FEC"/>
    <w:rsid w:val="00636F1D"/>
    <w:rsid w:val="0064124D"/>
    <w:rsid w:val="00642850"/>
    <w:rsid w:val="00644217"/>
    <w:rsid w:val="0064653C"/>
    <w:rsid w:val="0064694A"/>
    <w:rsid w:val="00646D8C"/>
    <w:rsid w:val="00653DAA"/>
    <w:rsid w:val="00653DEE"/>
    <w:rsid w:val="00654DF6"/>
    <w:rsid w:val="00656C48"/>
    <w:rsid w:val="006601A0"/>
    <w:rsid w:val="00661CAF"/>
    <w:rsid w:val="00663634"/>
    <w:rsid w:val="00665F3C"/>
    <w:rsid w:val="0066613D"/>
    <w:rsid w:val="00667EA3"/>
    <w:rsid w:val="006738A5"/>
    <w:rsid w:val="00673912"/>
    <w:rsid w:val="00674A6A"/>
    <w:rsid w:val="00682680"/>
    <w:rsid w:val="00686AF4"/>
    <w:rsid w:val="006873F2"/>
    <w:rsid w:val="0068775B"/>
    <w:rsid w:val="006916E2"/>
    <w:rsid w:val="00695889"/>
    <w:rsid w:val="006A5987"/>
    <w:rsid w:val="006A6FA6"/>
    <w:rsid w:val="006B1690"/>
    <w:rsid w:val="006B260D"/>
    <w:rsid w:val="006B331C"/>
    <w:rsid w:val="006C0D3F"/>
    <w:rsid w:val="006C2948"/>
    <w:rsid w:val="006C6E7F"/>
    <w:rsid w:val="006C78A9"/>
    <w:rsid w:val="006D0C48"/>
    <w:rsid w:val="006D10FA"/>
    <w:rsid w:val="006D7EF7"/>
    <w:rsid w:val="006E0B70"/>
    <w:rsid w:val="006E2830"/>
    <w:rsid w:val="006E39CC"/>
    <w:rsid w:val="006E46D3"/>
    <w:rsid w:val="006E50AF"/>
    <w:rsid w:val="006E52F5"/>
    <w:rsid w:val="006F0000"/>
    <w:rsid w:val="006F203A"/>
    <w:rsid w:val="006F6AE7"/>
    <w:rsid w:val="006F6F30"/>
    <w:rsid w:val="00700B62"/>
    <w:rsid w:val="00704410"/>
    <w:rsid w:val="007062B5"/>
    <w:rsid w:val="007110AB"/>
    <w:rsid w:val="00714120"/>
    <w:rsid w:val="00720C4F"/>
    <w:rsid w:val="00721DE3"/>
    <w:rsid w:val="00721E22"/>
    <w:rsid w:val="00722401"/>
    <w:rsid w:val="007257CC"/>
    <w:rsid w:val="00725B02"/>
    <w:rsid w:val="0072604D"/>
    <w:rsid w:val="0073060F"/>
    <w:rsid w:val="007312E0"/>
    <w:rsid w:val="00733235"/>
    <w:rsid w:val="00735A78"/>
    <w:rsid w:val="00736B37"/>
    <w:rsid w:val="0074248D"/>
    <w:rsid w:val="0074342A"/>
    <w:rsid w:val="00744746"/>
    <w:rsid w:val="007468F9"/>
    <w:rsid w:val="0074753B"/>
    <w:rsid w:val="00756385"/>
    <w:rsid w:val="00756F24"/>
    <w:rsid w:val="00761B03"/>
    <w:rsid w:val="00762B75"/>
    <w:rsid w:val="00764E47"/>
    <w:rsid w:val="00765512"/>
    <w:rsid w:val="00765A7A"/>
    <w:rsid w:val="00765F60"/>
    <w:rsid w:val="00781E83"/>
    <w:rsid w:val="00782B5B"/>
    <w:rsid w:val="00783AE9"/>
    <w:rsid w:val="00796983"/>
    <w:rsid w:val="0079739E"/>
    <w:rsid w:val="007A1412"/>
    <w:rsid w:val="007A7D3E"/>
    <w:rsid w:val="007B1F3F"/>
    <w:rsid w:val="007B222A"/>
    <w:rsid w:val="007C1815"/>
    <w:rsid w:val="007C4669"/>
    <w:rsid w:val="007C4A2B"/>
    <w:rsid w:val="007C4D72"/>
    <w:rsid w:val="007C5725"/>
    <w:rsid w:val="007D3630"/>
    <w:rsid w:val="007D5B70"/>
    <w:rsid w:val="007E11A1"/>
    <w:rsid w:val="007E451A"/>
    <w:rsid w:val="007E5C03"/>
    <w:rsid w:val="007E67C4"/>
    <w:rsid w:val="007F0AF4"/>
    <w:rsid w:val="00800DB5"/>
    <w:rsid w:val="00802558"/>
    <w:rsid w:val="008027A6"/>
    <w:rsid w:val="00804984"/>
    <w:rsid w:val="00804BA8"/>
    <w:rsid w:val="00806CBB"/>
    <w:rsid w:val="00807C99"/>
    <w:rsid w:val="00811870"/>
    <w:rsid w:val="0081273B"/>
    <w:rsid w:val="00815B77"/>
    <w:rsid w:val="00824B45"/>
    <w:rsid w:val="00831238"/>
    <w:rsid w:val="00832C12"/>
    <w:rsid w:val="0083312A"/>
    <w:rsid w:val="00835D0B"/>
    <w:rsid w:val="008363D2"/>
    <w:rsid w:val="008522C2"/>
    <w:rsid w:val="00852A5C"/>
    <w:rsid w:val="0085523C"/>
    <w:rsid w:val="00857583"/>
    <w:rsid w:val="008624C5"/>
    <w:rsid w:val="00862B29"/>
    <w:rsid w:val="008648F0"/>
    <w:rsid w:val="00865DE1"/>
    <w:rsid w:val="0087071F"/>
    <w:rsid w:val="00871868"/>
    <w:rsid w:val="008756C5"/>
    <w:rsid w:val="00875A54"/>
    <w:rsid w:val="008816AD"/>
    <w:rsid w:val="00883585"/>
    <w:rsid w:val="00884C8F"/>
    <w:rsid w:val="00884C9E"/>
    <w:rsid w:val="00886FC0"/>
    <w:rsid w:val="00890CCA"/>
    <w:rsid w:val="00896729"/>
    <w:rsid w:val="00896777"/>
    <w:rsid w:val="00897785"/>
    <w:rsid w:val="008A3CD3"/>
    <w:rsid w:val="008A66A2"/>
    <w:rsid w:val="008B395F"/>
    <w:rsid w:val="008B41AF"/>
    <w:rsid w:val="008B7C48"/>
    <w:rsid w:val="008C04D8"/>
    <w:rsid w:val="008C4DE4"/>
    <w:rsid w:val="008C7C24"/>
    <w:rsid w:val="008C7F0E"/>
    <w:rsid w:val="008D0E5C"/>
    <w:rsid w:val="008D1D62"/>
    <w:rsid w:val="008D1E3F"/>
    <w:rsid w:val="008D2087"/>
    <w:rsid w:val="008D6B47"/>
    <w:rsid w:val="008D745B"/>
    <w:rsid w:val="008E31D7"/>
    <w:rsid w:val="008E5405"/>
    <w:rsid w:val="008F21FA"/>
    <w:rsid w:val="008F27FA"/>
    <w:rsid w:val="008F39B9"/>
    <w:rsid w:val="008F603D"/>
    <w:rsid w:val="008F694A"/>
    <w:rsid w:val="009115B2"/>
    <w:rsid w:val="0091204D"/>
    <w:rsid w:val="00913A18"/>
    <w:rsid w:val="0091467F"/>
    <w:rsid w:val="00916D13"/>
    <w:rsid w:val="00917D84"/>
    <w:rsid w:val="00920225"/>
    <w:rsid w:val="00923AA3"/>
    <w:rsid w:val="009249DC"/>
    <w:rsid w:val="009276FA"/>
    <w:rsid w:val="009279B3"/>
    <w:rsid w:val="009306BC"/>
    <w:rsid w:val="00930AC9"/>
    <w:rsid w:val="009318D1"/>
    <w:rsid w:val="00932689"/>
    <w:rsid w:val="009363B9"/>
    <w:rsid w:val="009414D5"/>
    <w:rsid w:val="00945E37"/>
    <w:rsid w:val="00952CEC"/>
    <w:rsid w:val="00953924"/>
    <w:rsid w:val="00957C1E"/>
    <w:rsid w:val="0096030C"/>
    <w:rsid w:val="009620A6"/>
    <w:rsid w:val="009774D7"/>
    <w:rsid w:val="00977525"/>
    <w:rsid w:val="00983180"/>
    <w:rsid w:val="00983657"/>
    <w:rsid w:val="00983B49"/>
    <w:rsid w:val="00986763"/>
    <w:rsid w:val="00991076"/>
    <w:rsid w:val="00993419"/>
    <w:rsid w:val="0099556C"/>
    <w:rsid w:val="009960B6"/>
    <w:rsid w:val="00996DD7"/>
    <w:rsid w:val="00997685"/>
    <w:rsid w:val="009A0342"/>
    <w:rsid w:val="009A06A5"/>
    <w:rsid w:val="009A36A2"/>
    <w:rsid w:val="009A4D6A"/>
    <w:rsid w:val="009A5EC9"/>
    <w:rsid w:val="009B05F7"/>
    <w:rsid w:val="009B572F"/>
    <w:rsid w:val="009B61B6"/>
    <w:rsid w:val="009B7AC7"/>
    <w:rsid w:val="009C08CD"/>
    <w:rsid w:val="009C118B"/>
    <w:rsid w:val="009C16F7"/>
    <w:rsid w:val="009C38C3"/>
    <w:rsid w:val="009C72F0"/>
    <w:rsid w:val="009D14F7"/>
    <w:rsid w:val="009D4FC3"/>
    <w:rsid w:val="009D5CB5"/>
    <w:rsid w:val="009D6F56"/>
    <w:rsid w:val="009D758C"/>
    <w:rsid w:val="009E1D0B"/>
    <w:rsid w:val="009E23CB"/>
    <w:rsid w:val="009E3AAD"/>
    <w:rsid w:val="009E7922"/>
    <w:rsid w:val="009F044E"/>
    <w:rsid w:val="009F2690"/>
    <w:rsid w:val="00A003E7"/>
    <w:rsid w:val="00A00E4B"/>
    <w:rsid w:val="00A00F68"/>
    <w:rsid w:val="00A01613"/>
    <w:rsid w:val="00A031CA"/>
    <w:rsid w:val="00A03271"/>
    <w:rsid w:val="00A04EA9"/>
    <w:rsid w:val="00A04EFF"/>
    <w:rsid w:val="00A0592B"/>
    <w:rsid w:val="00A05C13"/>
    <w:rsid w:val="00A05D33"/>
    <w:rsid w:val="00A07D74"/>
    <w:rsid w:val="00A17308"/>
    <w:rsid w:val="00A22EEE"/>
    <w:rsid w:val="00A2550D"/>
    <w:rsid w:val="00A3006E"/>
    <w:rsid w:val="00A33257"/>
    <w:rsid w:val="00A33BE9"/>
    <w:rsid w:val="00A3787E"/>
    <w:rsid w:val="00A4120F"/>
    <w:rsid w:val="00A415AE"/>
    <w:rsid w:val="00A458F9"/>
    <w:rsid w:val="00A45D38"/>
    <w:rsid w:val="00A555AB"/>
    <w:rsid w:val="00A57220"/>
    <w:rsid w:val="00A60761"/>
    <w:rsid w:val="00A61DBB"/>
    <w:rsid w:val="00A65FA7"/>
    <w:rsid w:val="00A67470"/>
    <w:rsid w:val="00A70AC3"/>
    <w:rsid w:val="00A7210F"/>
    <w:rsid w:val="00A7389A"/>
    <w:rsid w:val="00A753A0"/>
    <w:rsid w:val="00A818A2"/>
    <w:rsid w:val="00A91E19"/>
    <w:rsid w:val="00A92142"/>
    <w:rsid w:val="00AA1CD5"/>
    <w:rsid w:val="00AA1DBB"/>
    <w:rsid w:val="00AA221D"/>
    <w:rsid w:val="00AA323F"/>
    <w:rsid w:val="00AA43CE"/>
    <w:rsid w:val="00AB26D8"/>
    <w:rsid w:val="00AB38F8"/>
    <w:rsid w:val="00AB4219"/>
    <w:rsid w:val="00AB5C58"/>
    <w:rsid w:val="00AB5C9B"/>
    <w:rsid w:val="00AC2B5B"/>
    <w:rsid w:val="00AC5FCF"/>
    <w:rsid w:val="00AC781D"/>
    <w:rsid w:val="00AD0C40"/>
    <w:rsid w:val="00AD0D47"/>
    <w:rsid w:val="00AD422C"/>
    <w:rsid w:val="00AD5063"/>
    <w:rsid w:val="00AD5ECC"/>
    <w:rsid w:val="00AD5EDA"/>
    <w:rsid w:val="00AE23F3"/>
    <w:rsid w:val="00AE4BA3"/>
    <w:rsid w:val="00AE55E1"/>
    <w:rsid w:val="00AE55F4"/>
    <w:rsid w:val="00AE5CC0"/>
    <w:rsid w:val="00AF04E9"/>
    <w:rsid w:val="00AF3EF2"/>
    <w:rsid w:val="00AF4411"/>
    <w:rsid w:val="00AF546D"/>
    <w:rsid w:val="00AF6256"/>
    <w:rsid w:val="00AF629C"/>
    <w:rsid w:val="00AF6BFC"/>
    <w:rsid w:val="00AF6DCD"/>
    <w:rsid w:val="00B000EE"/>
    <w:rsid w:val="00B01865"/>
    <w:rsid w:val="00B01FD2"/>
    <w:rsid w:val="00B022BA"/>
    <w:rsid w:val="00B03E0B"/>
    <w:rsid w:val="00B04529"/>
    <w:rsid w:val="00B06CE4"/>
    <w:rsid w:val="00B11403"/>
    <w:rsid w:val="00B16A46"/>
    <w:rsid w:val="00B22149"/>
    <w:rsid w:val="00B226BE"/>
    <w:rsid w:val="00B231D6"/>
    <w:rsid w:val="00B245B4"/>
    <w:rsid w:val="00B248A6"/>
    <w:rsid w:val="00B26FC6"/>
    <w:rsid w:val="00B32B15"/>
    <w:rsid w:val="00B36A74"/>
    <w:rsid w:val="00B371C3"/>
    <w:rsid w:val="00B40E15"/>
    <w:rsid w:val="00B44B83"/>
    <w:rsid w:val="00B50944"/>
    <w:rsid w:val="00B51266"/>
    <w:rsid w:val="00B5235E"/>
    <w:rsid w:val="00B53269"/>
    <w:rsid w:val="00B54C05"/>
    <w:rsid w:val="00B5513F"/>
    <w:rsid w:val="00B578F1"/>
    <w:rsid w:val="00B602ED"/>
    <w:rsid w:val="00B6407C"/>
    <w:rsid w:val="00B64663"/>
    <w:rsid w:val="00B64F80"/>
    <w:rsid w:val="00B658A7"/>
    <w:rsid w:val="00B660BE"/>
    <w:rsid w:val="00B71C1E"/>
    <w:rsid w:val="00B80A11"/>
    <w:rsid w:val="00B87A7D"/>
    <w:rsid w:val="00B90444"/>
    <w:rsid w:val="00B9323E"/>
    <w:rsid w:val="00B95247"/>
    <w:rsid w:val="00BA2964"/>
    <w:rsid w:val="00BA2D73"/>
    <w:rsid w:val="00BA5C05"/>
    <w:rsid w:val="00BA70EC"/>
    <w:rsid w:val="00BA73CB"/>
    <w:rsid w:val="00BB06B6"/>
    <w:rsid w:val="00BB0D28"/>
    <w:rsid w:val="00BB2C68"/>
    <w:rsid w:val="00BB5736"/>
    <w:rsid w:val="00BB58E7"/>
    <w:rsid w:val="00BB640F"/>
    <w:rsid w:val="00BB7E34"/>
    <w:rsid w:val="00BC0C1F"/>
    <w:rsid w:val="00BC10D5"/>
    <w:rsid w:val="00BC2961"/>
    <w:rsid w:val="00BC2F2E"/>
    <w:rsid w:val="00BC2FC9"/>
    <w:rsid w:val="00BC2FD7"/>
    <w:rsid w:val="00BD1949"/>
    <w:rsid w:val="00BD54EE"/>
    <w:rsid w:val="00BD61D8"/>
    <w:rsid w:val="00BD7C02"/>
    <w:rsid w:val="00BE062A"/>
    <w:rsid w:val="00BE0F95"/>
    <w:rsid w:val="00BE1223"/>
    <w:rsid w:val="00BE131A"/>
    <w:rsid w:val="00BE1BA1"/>
    <w:rsid w:val="00BE4DAB"/>
    <w:rsid w:val="00BE6A6B"/>
    <w:rsid w:val="00BE7B21"/>
    <w:rsid w:val="00BF3895"/>
    <w:rsid w:val="00BF3D5F"/>
    <w:rsid w:val="00BF676A"/>
    <w:rsid w:val="00C04D69"/>
    <w:rsid w:val="00C05D38"/>
    <w:rsid w:val="00C0636F"/>
    <w:rsid w:val="00C06F2F"/>
    <w:rsid w:val="00C104E3"/>
    <w:rsid w:val="00C11ECC"/>
    <w:rsid w:val="00C12D96"/>
    <w:rsid w:val="00C133C2"/>
    <w:rsid w:val="00C13B50"/>
    <w:rsid w:val="00C14A25"/>
    <w:rsid w:val="00C1628E"/>
    <w:rsid w:val="00C17539"/>
    <w:rsid w:val="00C17769"/>
    <w:rsid w:val="00C179E2"/>
    <w:rsid w:val="00C20439"/>
    <w:rsid w:val="00C21154"/>
    <w:rsid w:val="00C22D59"/>
    <w:rsid w:val="00C23D74"/>
    <w:rsid w:val="00C24332"/>
    <w:rsid w:val="00C2699B"/>
    <w:rsid w:val="00C30859"/>
    <w:rsid w:val="00C30B2E"/>
    <w:rsid w:val="00C31B36"/>
    <w:rsid w:val="00C31B80"/>
    <w:rsid w:val="00C35E6B"/>
    <w:rsid w:val="00C40990"/>
    <w:rsid w:val="00C446AF"/>
    <w:rsid w:val="00C46B4F"/>
    <w:rsid w:val="00C47A2E"/>
    <w:rsid w:val="00C525FF"/>
    <w:rsid w:val="00C53D35"/>
    <w:rsid w:val="00C54464"/>
    <w:rsid w:val="00C60152"/>
    <w:rsid w:val="00C634A1"/>
    <w:rsid w:val="00C64D3D"/>
    <w:rsid w:val="00C700B0"/>
    <w:rsid w:val="00C75336"/>
    <w:rsid w:val="00C755CC"/>
    <w:rsid w:val="00C8107B"/>
    <w:rsid w:val="00C83215"/>
    <w:rsid w:val="00C907F6"/>
    <w:rsid w:val="00C938BA"/>
    <w:rsid w:val="00C9628C"/>
    <w:rsid w:val="00C9722E"/>
    <w:rsid w:val="00CA503D"/>
    <w:rsid w:val="00CA5764"/>
    <w:rsid w:val="00CB2A20"/>
    <w:rsid w:val="00CB570F"/>
    <w:rsid w:val="00CB58ED"/>
    <w:rsid w:val="00CB7049"/>
    <w:rsid w:val="00CB789B"/>
    <w:rsid w:val="00CC1755"/>
    <w:rsid w:val="00CC191A"/>
    <w:rsid w:val="00CC51E7"/>
    <w:rsid w:val="00CC593B"/>
    <w:rsid w:val="00CC6391"/>
    <w:rsid w:val="00CD305F"/>
    <w:rsid w:val="00CD6C22"/>
    <w:rsid w:val="00CD73C0"/>
    <w:rsid w:val="00CE225B"/>
    <w:rsid w:val="00CE5092"/>
    <w:rsid w:val="00CE6104"/>
    <w:rsid w:val="00CE66A8"/>
    <w:rsid w:val="00CE7AE1"/>
    <w:rsid w:val="00CF1B37"/>
    <w:rsid w:val="00CF2D5F"/>
    <w:rsid w:val="00CF7547"/>
    <w:rsid w:val="00CF771F"/>
    <w:rsid w:val="00CF78C0"/>
    <w:rsid w:val="00D022CB"/>
    <w:rsid w:val="00D04F4B"/>
    <w:rsid w:val="00D05309"/>
    <w:rsid w:val="00D055C0"/>
    <w:rsid w:val="00D07CFB"/>
    <w:rsid w:val="00D1770F"/>
    <w:rsid w:val="00D201EC"/>
    <w:rsid w:val="00D20CE0"/>
    <w:rsid w:val="00D2232C"/>
    <w:rsid w:val="00D22449"/>
    <w:rsid w:val="00D31B54"/>
    <w:rsid w:val="00D32C29"/>
    <w:rsid w:val="00D3501A"/>
    <w:rsid w:val="00D35B58"/>
    <w:rsid w:val="00D43C1A"/>
    <w:rsid w:val="00D45CC5"/>
    <w:rsid w:val="00D51EA3"/>
    <w:rsid w:val="00D614EA"/>
    <w:rsid w:val="00D61734"/>
    <w:rsid w:val="00D63BED"/>
    <w:rsid w:val="00D66981"/>
    <w:rsid w:val="00D7101F"/>
    <w:rsid w:val="00D914F9"/>
    <w:rsid w:val="00D919E4"/>
    <w:rsid w:val="00D92FE7"/>
    <w:rsid w:val="00D94C01"/>
    <w:rsid w:val="00DA1BDF"/>
    <w:rsid w:val="00DA261D"/>
    <w:rsid w:val="00DA33A5"/>
    <w:rsid w:val="00DA50F9"/>
    <w:rsid w:val="00DA5481"/>
    <w:rsid w:val="00DB0868"/>
    <w:rsid w:val="00DB159B"/>
    <w:rsid w:val="00DB3401"/>
    <w:rsid w:val="00DB35EA"/>
    <w:rsid w:val="00DB5409"/>
    <w:rsid w:val="00DB57FA"/>
    <w:rsid w:val="00DB7022"/>
    <w:rsid w:val="00DC208E"/>
    <w:rsid w:val="00DC5D4C"/>
    <w:rsid w:val="00DC6558"/>
    <w:rsid w:val="00DC78A0"/>
    <w:rsid w:val="00DD1B89"/>
    <w:rsid w:val="00DD4D8B"/>
    <w:rsid w:val="00DD556C"/>
    <w:rsid w:val="00DD6512"/>
    <w:rsid w:val="00DF0F68"/>
    <w:rsid w:val="00DF37CA"/>
    <w:rsid w:val="00DF4D5C"/>
    <w:rsid w:val="00DF5B56"/>
    <w:rsid w:val="00E04E1A"/>
    <w:rsid w:val="00E10DB1"/>
    <w:rsid w:val="00E117D1"/>
    <w:rsid w:val="00E14543"/>
    <w:rsid w:val="00E15031"/>
    <w:rsid w:val="00E165DF"/>
    <w:rsid w:val="00E203AE"/>
    <w:rsid w:val="00E26619"/>
    <w:rsid w:val="00E31D29"/>
    <w:rsid w:val="00E33022"/>
    <w:rsid w:val="00E36AE7"/>
    <w:rsid w:val="00E41283"/>
    <w:rsid w:val="00E47721"/>
    <w:rsid w:val="00E47B2E"/>
    <w:rsid w:val="00E60649"/>
    <w:rsid w:val="00E67810"/>
    <w:rsid w:val="00E729A1"/>
    <w:rsid w:val="00E74A6F"/>
    <w:rsid w:val="00E74ABE"/>
    <w:rsid w:val="00E8167A"/>
    <w:rsid w:val="00E84B54"/>
    <w:rsid w:val="00E86D07"/>
    <w:rsid w:val="00E87804"/>
    <w:rsid w:val="00E919D5"/>
    <w:rsid w:val="00E9356D"/>
    <w:rsid w:val="00E93ED3"/>
    <w:rsid w:val="00E94EEE"/>
    <w:rsid w:val="00E954D9"/>
    <w:rsid w:val="00E962ED"/>
    <w:rsid w:val="00E97A15"/>
    <w:rsid w:val="00EA0A24"/>
    <w:rsid w:val="00EA2866"/>
    <w:rsid w:val="00EA3C54"/>
    <w:rsid w:val="00EA6794"/>
    <w:rsid w:val="00EB3621"/>
    <w:rsid w:val="00EB3716"/>
    <w:rsid w:val="00EC0136"/>
    <w:rsid w:val="00EC1ABE"/>
    <w:rsid w:val="00EC1D8B"/>
    <w:rsid w:val="00EC46C8"/>
    <w:rsid w:val="00EC4A17"/>
    <w:rsid w:val="00EC5340"/>
    <w:rsid w:val="00EC7D8A"/>
    <w:rsid w:val="00ED0033"/>
    <w:rsid w:val="00ED02EA"/>
    <w:rsid w:val="00ED0757"/>
    <w:rsid w:val="00ED59EA"/>
    <w:rsid w:val="00EE073A"/>
    <w:rsid w:val="00EE0A1E"/>
    <w:rsid w:val="00EE0B5A"/>
    <w:rsid w:val="00EE28D5"/>
    <w:rsid w:val="00EE2F7F"/>
    <w:rsid w:val="00EE5FA0"/>
    <w:rsid w:val="00EE774A"/>
    <w:rsid w:val="00EF260E"/>
    <w:rsid w:val="00EF4351"/>
    <w:rsid w:val="00EF7513"/>
    <w:rsid w:val="00F00968"/>
    <w:rsid w:val="00F01048"/>
    <w:rsid w:val="00F0357D"/>
    <w:rsid w:val="00F03805"/>
    <w:rsid w:val="00F10047"/>
    <w:rsid w:val="00F107E8"/>
    <w:rsid w:val="00F12087"/>
    <w:rsid w:val="00F12F29"/>
    <w:rsid w:val="00F1413F"/>
    <w:rsid w:val="00F14DB2"/>
    <w:rsid w:val="00F14EC7"/>
    <w:rsid w:val="00F15719"/>
    <w:rsid w:val="00F24C85"/>
    <w:rsid w:val="00F26DAB"/>
    <w:rsid w:val="00F3363D"/>
    <w:rsid w:val="00F37F8E"/>
    <w:rsid w:val="00F40E73"/>
    <w:rsid w:val="00F419DE"/>
    <w:rsid w:val="00F43861"/>
    <w:rsid w:val="00F45DEA"/>
    <w:rsid w:val="00F474E8"/>
    <w:rsid w:val="00F527D2"/>
    <w:rsid w:val="00F52985"/>
    <w:rsid w:val="00F55C8D"/>
    <w:rsid w:val="00F562ED"/>
    <w:rsid w:val="00F56DB3"/>
    <w:rsid w:val="00F5765D"/>
    <w:rsid w:val="00F57F47"/>
    <w:rsid w:val="00F600D8"/>
    <w:rsid w:val="00F60540"/>
    <w:rsid w:val="00F60B3B"/>
    <w:rsid w:val="00F61D18"/>
    <w:rsid w:val="00F63AF9"/>
    <w:rsid w:val="00F70A75"/>
    <w:rsid w:val="00F72D2A"/>
    <w:rsid w:val="00F74863"/>
    <w:rsid w:val="00F7496F"/>
    <w:rsid w:val="00F76C95"/>
    <w:rsid w:val="00F805FE"/>
    <w:rsid w:val="00F81A05"/>
    <w:rsid w:val="00F83454"/>
    <w:rsid w:val="00F86F40"/>
    <w:rsid w:val="00F958E3"/>
    <w:rsid w:val="00F976FA"/>
    <w:rsid w:val="00FA0637"/>
    <w:rsid w:val="00FA0E5A"/>
    <w:rsid w:val="00FA12D4"/>
    <w:rsid w:val="00FA59B8"/>
    <w:rsid w:val="00FA7259"/>
    <w:rsid w:val="00FB015B"/>
    <w:rsid w:val="00FB5288"/>
    <w:rsid w:val="00FB6522"/>
    <w:rsid w:val="00FC0769"/>
    <w:rsid w:val="00FC32C1"/>
    <w:rsid w:val="00FC59E1"/>
    <w:rsid w:val="00FC5D84"/>
    <w:rsid w:val="00FD28A5"/>
    <w:rsid w:val="00FD2EE8"/>
    <w:rsid w:val="00FD3692"/>
    <w:rsid w:val="00FD3B27"/>
    <w:rsid w:val="00FE0E78"/>
    <w:rsid w:val="00FE1986"/>
    <w:rsid w:val="00FE2AAA"/>
    <w:rsid w:val="00FE4827"/>
    <w:rsid w:val="00FE5B74"/>
    <w:rsid w:val="00FE7255"/>
    <w:rsid w:val="00FF0F13"/>
    <w:rsid w:val="00FF1CB8"/>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683C6"/>
  <w15:docId w15:val="{B19DE096-BB58-436A-B70F-45D7B0F8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2BA"/>
    <w:rPr>
      <w:lang w:val="fr-FR" w:eastAsia="nl-NL"/>
    </w:rPr>
  </w:style>
  <w:style w:type="paragraph" w:styleId="Titre1">
    <w:name w:val="heading 1"/>
    <w:basedOn w:val="Normal"/>
    <w:next w:val="Normal"/>
    <w:link w:val="Titre1Car"/>
    <w:qFormat/>
    <w:rsid w:val="00B022BA"/>
    <w:pPr>
      <w:keepNext/>
      <w:tabs>
        <w:tab w:val="left" w:pos="567"/>
        <w:tab w:val="left" w:pos="2410"/>
      </w:tabs>
      <w:jc w:val="both"/>
      <w:outlineLvl w:val="0"/>
    </w:pPr>
    <w:rPr>
      <w:sz w:val="24"/>
    </w:rPr>
  </w:style>
  <w:style w:type="paragraph" w:styleId="Titre2">
    <w:name w:val="heading 2"/>
    <w:basedOn w:val="Normal"/>
    <w:next w:val="Normal"/>
    <w:link w:val="Titre2Car"/>
    <w:qFormat/>
    <w:rsid w:val="00B022BA"/>
    <w:pPr>
      <w:keepNext/>
      <w:jc w:val="center"/>
      <w:outlineLvl w:val="1"/>
    </w:pPr>
    <w:rPr>
      <w:b/>
    </w:rPr>
  </w:style>
  <w:style w:type="paragraph" w:styleId="Titre3">
    <w:name w:val="heading 3"/>
    <w:basedOn w:val="Normal"/>
    <w:next w:val="Normal"/>
    <w:link w:val="Titre3Car"/>
    <w:qFormat/>
    <w:rsid w:val="00B022BA"/>
    <w:pPr>
      <w:keepNext/>
      <w:outlineLvl w:val="2"/>
    </w:pPr>
    <w:rPr>
      <w:b/>
    </w:rPr>
  </w:style>
  <w:style w:type="paragraph" w:styleId="Titre9">
    <w:name w:val="heading 9"/>
    <w:basedOn w:val="Normal"/>
    <w:next w:val="Normal"/>
    <w:link w:val="Titre9Car"/>
    <w:qFormat/>
    <w:rsid w:val="00B022BA"/>
    <w:pPr>
      <w:keepNext/>
      <w:tabs>
        <w:tab w:val="left" w:pos="567"/>
        <w:tab w:val="left" w:pos="2268"/>
      </w:tabs>
      <w:jc w:val="both"/>
      <w:outlineLvl w:val="8"/>
    </w:pPr>
    <w:rPr>
      <w:i/>
      <w:iCs/>
      <w:sz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22BA"/>
    <w:rPr>
      <w:sz w:val="24"/>
      <w:lang w:val="fr-FR" w:eastAsia="nl-NL"/>
    </w:rPr>
  </w:style>
  <w:style w:type="character" w:customStyle="1" w:styleId="Titre2Car">
    <w:name w:val="Titre 2 Car"/>
    <w:basedOn w:val="Policepardfaut"/>
    <w:link w:val="Titre2"/>
    <w:rsid w:val="00B022BA"/>
    <w:rPr>
      <w:b/>
      <w:lang w:val="fr-FR" w:eastAsia="nl-NL"/>
    </w:rPr>
  </w:style>
  <w:style w:type="character" w:customStyle="1" w:styleId="Titre3Car">
    <w:name w:val="Titre 3 Car"/>
    <w:basedOn w:val="Policepardfaut"/>
    <w:link w:val="Titre3"/>
    <w:rsid w:val="00B022BA"/>
    <w:rPr>
      <w:b/>
      <w:lang w:val="fr-FR" w:eastAsia="nl-NL"/>
    </w:rPr>
  </w:style>
  <w:style w:type="character" w:customStyle="1" w:styleId="Titre9Car">
    <w:name w:val="Titre 9 Car"/>
    <w:basedOn w:val="Policepardfaut"/>
    <w:link w:val="Titre9"/>
    <w:rsid w:val="00B022BA"/>
    <w:rPr>
      <w:i/>
      <w:iCs/>
      <w:sz w:val="22"/>
      <w:lang w:val="nl-NL" w:eastAsia="nl-NL"/>
    </w:rPr>
  </w:style>
  <w:style w:type="paragraph" w:styleId="Pieddepage">
    <w:name w:val="footer"/>
    <w:basedOn w:val="Normal"/>
    <w:link w:val="PieddepageCar"/>
    <w:uiPriority w:val="99"/>
    <w:rsid w:val="00B022BA"/>
    <w:pPr>
      <w:tabs>
        <w:tab w:val="center" w:pos="4536"/>
        <w:tab w:val="right" w:pos="9072"/>
      </w:tabs>
    </w:pPr>
  </w:style>
  <w:style w:type="character" w:customStyle="1" w:styleId="PieddepageCar">
    <w:name w:val="Pied de page Car"/>
    <w:basedOn w:val="Policepardfaut"/>
    <w:link w:val="Pieddepage"/>
    <w:uiPriority w:val="99"/>
    <w:rsid w:val="00B022BA"/>
    <w:rPr>
      <w:lang w:val="fr-FR" w:eastAsia="nl-NL"/>
    </w:rPr>
  </w:style>
  <w:style w:type="character" w:styleId="Numrodepage">
    <w:name w:val="page number"/>
    <w:basedOn w:val="Policepardfaut"/>
    <w:rsid w:val="00B022BA"/>
  </w:style>
  <w:style w:type="paragraph" w:styleId="En-tte">
    <w:name w:val="header"/>
    <w:basedOn w:val="Normal"/>
    <w:link w:val="En-tteCar"/>
    <w:rsid w:val="00B022BA"/>
    <w:pPr>
      <w:tabs>
        <w:tab w:val="center" w:pos="4536"/>
        <w:tab w:val="right" w:pos="9072"/>
      </w:tabs>
    </w:pPr>
  </w:style>
  <w:style w:type="character" w:customStyle="1" w:styleId="En-tteCar">
    <w:name w:val="En-tête Car"/>
    <w:basedOn w:val="Policepardfaut"/>
    <w:link w:val="En-tte"/>
    <w:rsid w:val="00B022BA"/>
    <w:rPr>
      <w:lang w:val="fr-FR" w:eastAsia="nl-NL"/>
    </w:rPr>
  </w:style>
  <w:style w:type="paragraph" w:styleId="Corpsdetexte">
    <w:name w:val="Body Text"/>
    <w:basedOn w:val="Normal"/>
    <w:link w:val="CorpsdetexteCar"/>
    <w:rsid w:val="00B022BA"/>
    <w:pPr>
      <w:tabs>
        <w:tab w:val="left" w:pos="2410"/>
      </w:tabs>
      <w:jc w:val="both"/>
    </w:pPr>
    <w:rPr>
      <w:sz w:val="22"/>
    </w:rPr>
  </w:style>
  <w:style w:type="character" w:customStyle="1" w:styleId="CorpsdetexteCar">
    <w:name w:val="Corps de texte Car"/>
    <w:basedOn w:val="Policepardfaut"/>
    <w:link w:val="Corpsdetexte"/>
    <w:rsid w:val="00B022BA"/>
    <w:rPr>
      <w:sz w:val="22"/>
      <w:lang w:val="fr-FR" w:eastAsia="nl-NL"/>
    </w:rPr>
  </w:style>
  <w:style w:type="paragraph" w:styleId="Corpsdetexte3">
    <w:name w:val="Body Text 3"/>
    <w:basedOn w:val="Normal"/>
    <w:link w:val="Corpsdetexte3Car"/>
    <w:rsid w:val="00B022BA"/>
    <w:pPr>
      <w:widowControl w:val="0"/>
    </w:pPr>
    <w:rPr>
      <w:snapToGrid w:val="0"/>
      <w:sz w:val="22"/>
      <w:lang w:val="en-US" w:eastAsia="fr-FR"/>
    </w:rPr>
  </w:style>
  <w:style w:type="character" w:customStyle="1" w:styleId="Corpsdetexte3Car">
    <w:name w:val="Corps de texte 3 Car"/>
    <w:basedOn w:val="Policepardfaut"/>
    <w:link w:val="Corpsdetexte3"/>
    <w:rsid w:val="00B022BA"/>
    <w:rPr>
      <w:snapToGrid w:val="0"/>
      <w:sz w:val="22"/>
      <w:lang w:eastAsia="fr-FR"/>
    </w:rPr>
  </w:style>
  <w:style w:type="character" w:styleId="Lienhypertexte">
    <w:name w:val="Hyperlink"/>
    <w:rsid w:val="00B022BA"/>
    <w:rPr>
      <w:color w:val="0000FF"/>
      <w:u w:val="single"/>
    </w:rPr>
  </w:style>
  <w:style w:type="character" w:styleId="Lienhypertextesuivivisit">
    <w:name w:val="FollowedHyperlink"/>
    <w:basedOn w:val="Policepardfaut"/>
    <w:rsid w:val="000812D2"/>
    <w:rPr>
      <w:color w:val="800080" w:themeColor="followedHyperlink"/>
      <w:u w:val="single"/>
    </w:rPr>
  </w:style>
  <w:style w:type="character" w:styleId="Marquedecommentaire">
    <w:name w:val="annotation reference"/>
    <w:basedOn w:val="Policepardfaut"/>
    <w:uiPriority w:val="99"/>
    <w:rsid w:val="00426B7A"/>
    <w:rPr>
      <w:sz w:val="16"/>
      <w:szCs w:val="16"/>
    </w:rPr>
  </w:style>
  <w:style w:type="paragraph" w:styleId="Commentaire">
    <w:name w:val="annotation text"/>
    <w:basedOn w:val="Normal"/>
    <w:link w:val="CommentaireCar"/>
    <w:uiPriority w:val="99"/>
    <w:rsid w:val="00426B7A"/>
  </w:style>
  <w:style w:type="character" w:customStyle="1" w:styleId="CommentaireCar">
    <w:name w:val="Commentaire Car"/>
    <w:basedOn w:val="Policepardfaut"/>
    <w:link w:val="Commentaire"/>
    <w:uiPriority w:val="99"/>
    <w:rsid w:val="00426B7A"/>
    <w:rPr>
      <w:lang w:val="fr-FR" w:eastAsia="nl-NL"/>
    </w:rPr>
  </w:style>
  <w:style w:type="paragraph" w:styleId="Objetducommentaire">
    <w:name w:val="annotation subject"/>
    <w:basedOn w:val="Commentaire"/>
    <w:next w:val="Commentaire"/>
    <w:link w:val="ObjetducommentaireCar"/>
    <w:rsid w:val="00426B7A"/>
    <w:rPr>
      <w:b/>
      <w:bCs/>
    </w:rPr>
  </w:style>
  <w:style w:type="character" w:customStyle="1" w:styleId="ObjetducommentaireCar">
    <w:name w:val="Objet du commentaire Car"/>
    <w:basedOn w:val="CommentaireCar"/>
    <w:link w:val="Objetducommentaire"/>
    <w:rsid w:val="00426B7A"/>
    <w:rPr>
      <w:b/>
      <w:bCs/>
      <w:lang w:val="fr-FR" w:eastAsia="nl-NL"/>
    </w:rPr>
  </w:style>
  <w:style w:type="paragraph" w:styleId="Textedebulles">
    <w:name w:val="Balloon Text"/>
    <w:basedOn w:val="Normal"/>
    <w:link w:val="TextedebullesCar"/>
    <w:rsid w:val="00426B7A"/>
    <w:rPr>
      <w:rFonts w:ascii="Tahoma" w:hAnsi="Tahoma" w:cs="Tahoma"/>
      <w:sz w:val="16"/>
      <w:szCs w:val="16"/>
    </w:rPr>
  </w:style>
  <w:style w:type="character" w:customStyle="1" w:styleId="TextedebullesCar">
    <w:name w:val="Texte de bulles Car"/>
    <w:basedOn w:val="Policepardfaut"/>
    <w:link w:val="Textedebulles"/>
    <w:rsid w:val="00426B7A"/>
    <w:rPr>
      <w:rFonts w:ascii="Tahoma" w:hAnsi="Tahoma" w:cs="Tahoma"/>
      <w:sz w:val="16"/>
      <w:szCs w:val="16"/>
      <w:lang w:val="fr-FR" w:eastAsia="nl-NL"/>
    </w:rPr>
  </w:style>
  <w:style w:type="table" w:styleId="Grilledutableau">
    <w:name w:val="Table Grid"/>
    <w:basedOn w:val="TableauNormal"/>
    <w:rsid w:val="00F6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0B3B"/>
    <w:pPr>
      <w:ind w:left="720"/>
      <w:contextualSpacing/>
    </w:pPr>
  </w:style>
  <w:style w:type="paragraph" w:styleId="Rvision">
    <w:name w:val="Revision"/>
    <w:hidden/>
    <w:uiPriority w:val="99"/>
    <w:semiHidden/>
    <w:rsid w:val="009B05F7"/>
    <w:rPr>
      <w:lang w:val="fr-FR" w:eastAsia="nl-NL"/>
    </w:rPr>
  </w:style>
  <w:style w:type="paragraph" w:customStyle="1" w:styleId="Default">
    <w:name w:val="Default"/>
    <w:rsid w:val="00BB58E7"/>
    <w:pPr>
      <w:autoSpaceDE w:val="0"/>
      <w:autoSpaceDN w:val="0"/>
      <w:adjustRightInd w:val="0"/>
    </w:pPr>
    <w:rPr>
      <w:rFonts w:ascii="EUAlbertina" w:hAnsi="EUAlbertina" w:cs="EUAlbertina"/>
      <w:color w:val="000000"/>
      <w:sz w:val="24"/>
      <w:szCs w:val="24"/>
      <w:lang w:val="fr-BE"/>
    </w:rPr>
  </w:style>
  <w:style w:type="paragraph" w:customStyle="1" w:styleId="CM1">
    <w:name w:val="CM1"/>
    <w:basedOn w:val="Default"/>
    <w:next w:val="Default"/>
    <w:uiPriority w:val="99"/>
    <w:rsid w:val="00BB58E7"/>
    <w:rPr>
      <w:rFonts w:cs="Times New Roman"/>
      <w:color w:val="auto"/>
    </w:rPr>
  </w:style>
  <w:style w:type="paragraph" w:customStyle="1" w:styleId="CM3">
    <w:name w:val="CM3"/>
    <w:basedOn w:val="Default"/>
    <w:next w:val="Default"/>
    <w:uiPriority w:val="99"/>
    <w:rsid w:val="00BB58E7"/>
    <w:rPr>
      <w:rFonts w:cs="Times New Roman"/>
      <w:color w:val="auto"/>
    </w:rPr>
  </w:style>
  <w:style w:type="paragraph" w:customStyle="1" w:styleId="CM4">
    <w:name w:val="CM4"/>
    <w:basedOn w:val="Default"/>
    <w:next w:val="Default"/>
    <w:uiPriority w:val="99"/>
    <w:rsid w:val="005A5081"/>
    <w:rPr>
      <w:rFonts w:ascii="Times New Roman" w:hAnsi="Times New Roman" w:cs="Times New Roman"/>
      <w:color w:val="auto"/>
      <w:lang w:val="en-US"/>
    </w:rPr>
  </w:style>
  <w:style w:type="character" w:customStyle="1" w:styleId="plist">
    <w:name w:val="p_list"/>
    <w:basedOn w:val="Policepardfaut"/>
    <w:rsid w:val="003955A7"/>
  </w:style>
  <w:style w:type="paragraph" w:styleId="NormalWeb">
    <w:name w:val="Normal (Web)"/>
    <w:basedOn w:val="Normal"/>
    <w:uiPriority w:val="99"/>
    <w:unhideWhenUsed/>
    <w:rsid w:val="003955A7"/>
    <w:pPr>
      <w:spacing w:before="100" w:beforeAutospacing="1" w:after="100" w:afterAutospacing="1"/>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2">
      <w:bodyDiv w:val="1"/>
      <w:marLeft w:val="0"/>
      <w:marRight w:val="0"/>
      <w:marTop w:val="0"/>
      <w:marBottom w:val="0"/>
      <w:divBdr>
        <w:top w:val="none" w:sz="0" w:space="0" w:color="auto"/>
        <w:left w:val="none" w:sz="0" w:space="0" w:color="auto"/>
        <w:bottom w:val="none" w:sz="0" w:space="0" w:color="auto"/>
        <w:right w:val="none" w:sz="0" w:space="0" w:color="auto"/>
      </w:divBdr>
      <w:divsChild>
        <w:div w:id="960889877">
          <w:marLeft w:val="0"/>
          <w:marRight w:val="0"/>
          <w:marTop w:val="0"/>
          <w:marBottom w:val="0"/>
          <w:divBdr>
            <w:top w:val="none" w:sz="0" w:space="0" w:color="auto"/>
            <w:left w:val="none" w:sz="0" w:space="0" w:color="auto"/>
            <w:bottom w:val="none" w:sz="0" w:space="0" w:color="auto"/>
            <w:right w:val="none" w:sz="0" w:space="0" w:color="auto"/>
          </w:divBdr>
        </w:div>
        <w:div w:id="658657420">
          <w:marLeft w:val="0"/>
          <w:marRight w:val="0"/>
          <w:marTop w:val="0"/>
          <w:marBottom w:val="0"/>
          <w:divBdr>
            <w:top w:val="none" w:sz="0" w:space="0" w:color="auto"/>
            <w:left w:val="none" w:sz="0" w:space="0" w:color="auto"/>
            <w:bottom w:val="none" w:sz="0" w:space="0" w:color="auto"/>
            <w:right w:val="none" w:sz="0" w:space="0" w:color="auto"/>
          </w:divBdr>
        </w:div>
        <w:div w:id="491064533">
          <w:marLeft w:val="0"/>
          <w:marRight w:val="0"/>
          <w:marTop w:val="0"/>
          <w:marBottom w:val="0"/>
          <w:divBdr>
            <w:top w:val="none" w:sz="0" w:space="0" w:color="auto"/>
            <w:left w:val="none" w:sz="0" w:space="0" w:color="auto"/>
            <w:bottom w:val="none" w:sz="0" w:space="0" w:color="auto"/>
            <w:right w:val="none" w:sz="0" w:space="0" w:color="auto"/>
          </w:divBdr>
        </w:div>
        <w:div w:id="1550023073">
          <w:marLeft w:val="0"/>
          <w:marRight w:val="0"/>
          <w:marTop w:val="0"/>
          <w:marBottom w:val="0"/>
          <w:divBdr>
            <w:top w:val="none" w:sz="0" w:space="0" w:color="auto"/>
            <w:left w:val="none" w:sz="0" w:space="0" w:color="auto"/>
            <w:bottom w:val="none" w:sz="0" w:space="0" w:color="auto"/>
            <w:right w:val="none" w:sz="0" w:space="0" w:color="auto"/>
          </w:divBdr>
        </w:div>
        <w:div w:id="1017197510">
          <w:marLeft w:val="0"/>
          <w:marRight w:val="0"/>
          <w:marTop w:val="0"/>
          <w:marBottom w:val="0"/>
          <w:divBdr>
            <w:top w:val="none" w:sz="0" w:space="0" w:color="auto"/>
            <w:left w:val="none" w:sz="0" w:space="0" w:color="auto"/>
            <w:bottom w:val="none" w:sz="0" w:space="0" w:color="auto"/>
            <w:right w:val="none" w:sz="0" w:space="0" w:color="auto"/>
          </w:divBdr>
        </w:div>
        <w:div w:id="1496651883">
          <w:marLeft w:val="0"/>
          <w:marRight w:val="0"/>
          <w:marTop w:val="0"/>
          <w:marBottom w:val="0"/>
          <w:divBdr>
            <w:top w:val="none" w:sz="0" w:space="0" w:color="auto"/>
            <w:left w:val="none" w:sz="0" w:space="0" w:color="auto"/>
            <w:bottom w:val="none" w:sz="0" w:space="0" w:color="auto"/>
            <w:right w:val="none" w:sz="0" w:space="0" w:color="auto"/>
          </w:divBdr>
        </w:div>
        <w:div w:id="1379819205">
          <w:marLeft w:val="0"/>
          <w:marRight w:val="0"/>
          <w:marTop w:val="0"/>
          <w:marBottom w:val="0"/>
          <w:divBdr>
            <w:top w:val="none" w:sz="0" w:space="0" w:color="auto"/>
            <w:left w:val="none" w:sz="0" w:space="0" w:color="auto"/>
            <w:bottom w:val="none" w:sz="0" w:space="0" w:color="auto"/>
            <w:right w:val="none" w:sz="0" w:space="0" w:color="auto"/>
          </w:divBdr>
        </w:div>
        <w:div w:id="1429815178">
          <w:marLeft w:val="0"/>
          <w:marRight w:val="0"/>
          <w:marTop w:val="0"/>
          <w:marBottom w:val="0"/>
          <w:divBdr>
            <w:top w:val="none" w:sz="0" w:space="0" w:color="auto"/>
            <w:left w:val="none" w:sz="0" w:space="0" w:color="auto"/>
            <w:bottom w:val="none" w:sz="0" w:space="0" w:color="auto"/>
            <w:right w:val="none" w:sz="0" w:space="0" w:color="auto"/>
          </w:divBdr>
        </w:div>
        <w:div w:id="861435733">
          <w:marLeft w:val="0"/>
          <w:marRight w:val="0"/>
          <w:marTop w:val="0"/>
          <w:marBottom w:val="0"/>
          <w:divBdr>
            <w:top w:val="none" w:sz="0" w:space="0" w:color="auto"/>
            <w:left w:val="none" w:sz="0" w:space="0" w:color="auto"/>
            <w:bottom w:val="none" w:sz="0" w:space="0" w:color="auto"/>
            <w:right w:val="none" w:sz="0" w:space="0" w:color="auto"/>
          </w:divBdr>
        </w:div>
        <w:div w:id="677805304">
          <w:marLeft w:val="0"/>
          <w:marRight w:val="0"/>
          <w:marTop w:val="0"/>
          <w:marBottom w:val="0"/>
          <w:divBdr>
            <w:top w:val="none" w:sz="0" w:space="0" w:color="auto"/>
            <w:left w:val="none" w:sz="0" w:space="0" w:color="auto"/>
            <w:bottom w:val="none" w:sz="0" w:space="0" w:color="auto"/>
            <w:right w:val="none" w:sz="0" w:space="0" w:color="auto"/>
          </w:divBdr>
        </w:div>
        <w:div w:id="1946644210">
          <w:marLeft w:val="0"/>
          <w:marRight w:val="0"/>
          <w:marTop w:val="0"/>
          <w:marBottom w:val="0"/>
          <w:divBdr>
            <w:top w:val="none" w:sz="0" w:space="0" w:color="auto"/>
            <w:left w:val="none" w:sz="0" w:space="0" w:color="auto"/>
            <w:bottom w:val="none" w:sz="0" w:space="0" w:color="auto"/>
            <w:right w:val="none" w:sz="0" w:space="0" w:color="auto"/>
          </w:divBdr>
        </w:div>
      </w:divsChild>
    </w:div>
    <w:div w:id="138500839">
      <w:bodyDiv w:val="1"/>
      <w:marLeft w:val="0"/>
      <w:marRight w:val="0"/>
      <w:marTop w:val="0"/>
      <w:marBottom w:val="0"/>
      <w:divBdr>
        <w:top w:val="none" w:sz="0" w:space="0" w:color="auto"/>
        <w:left w:val="none" w:sz="0" w:space="0" w:color="auto"/>
        <w:bottom w:val="none" w:sz="0" w:space="0" w:color="auto"/>
        <w:right w:val="none" w:sz="0" w:space="0" w:color="auto"/>
      </w:divBdr>
    </w:div>
    <w:div w:id="346756689">
      <w:bodyDiv w:val="1"/>
      <w:marLeft w:val="0"/>
      <w:marRight w:val="0"/>
      <w:marTop w:val="0"/>
      <w:marBottom w:val="0"/>
      <w:divBdr>
        <w:top w:val="none" w:sz="0" w:space="0" w:color="auto"/>
        <w:left w:val="none" w:sz="0" w:space="0" w:color="auto"/>
        <w:bottom w:val="none" w:sz="0" w:space="0" w:color="auto"/>
        <w:right w:val="none" w:sz="0" w:space="0" w:color="auto"/>
      </w:divBdr>
      <w:divsChild>
        <w:div w:id="476725833">
          <w:marLeft w:val="0"/>
          <w:marRight w:val="0"/>
          <w:marTop w:val="0"/>
          <w:marBottom w:val="0"/>
          <w:divBdr>
            <w:top w:val="none" w:sz="0" w:space="0" w:color="auto"/>
            <w:left w:val="none" w:sz="0" w:space="0" w:color="auto"/>
            <w:bottom w:val="none" w:sz="0" w:space="0" w:color="auto"/>
            <w:right w:val="none" w:sz="0" w:space="0" w:color="auto"/>
          </w:divBdr>
        </w:div>
      </w:divsChild>
    </w:div>
    <w:div w:id="762338562">
      <w:bodyDiv w:val="1"/>
      <w:marLeft w:val="0"/>
      <w:marRight w:val="0"/>
      <w:marTop w:val="0"/>
      <w:marBottom w:val="0"/>
      <w:divBdr>
        <w:top w:val="none" w:sz="0" w:space="0" w:color="auto"/>
        <w:left w:val="none" w:sz="0" w:space="0" w:color="auto"/>
        <w:bottom w:val="none" w:sz="0" w:space="0" w:color="auto"/>
        <w:right w:val="none" w:sz="0" w:space="0" w:color="auto"/>
      </w:divBdr>
    </w:div>
    <w:div w:id="1610047944">
      <w:bodyDiv w:val="1"/>
      <w:marLeft w:val="0"/>
      <w:marRight w:val="0"/>
      <w:marTop w:val="0"/>
      <w:marBottom w:val="0"/>
      <w:divBdr>
        <w:top w:val="none" w:sz="0" w:space="0" w:color="auto"/>
        <w:left w:val="none" w:sz="0" w:space="0" w:color="auto"/>
        <w:bottom w:val="none" w:sz="0" w:space="0" w:color="auto"/>
        <w:right w:val="none" w:sz="0" w:space="0" w:color="auto"/>
      </w:divBdr>
    </w:div>
    <w:div w:id="1759322647">
      <w:bodyDiv w:val="1"/>
      <w:marLeft w:val="0"/>
      <w:marRight w:val="0"/>
      <w:marTop w:val="0"/>
      <w:marBottom w:val="0"/>
      <w:divBdr>
        <w:top w:val="none" w:sz="0" w:space="0" w:color="auto"/>
        <w:left w:val="none" w:sz="0" w:space="0" w:color="auto"/>
        <w:bottom w:val="none" w:sz="0" w:space="0" w:color="auto"/>
        <w:right w:val="none" w:sz="0" w:space="0" w:color="auto"/>
      </w:divBdr>
    </w:div>
    <w:div w:id="20921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5C41FAC10AB4795EAE5636E45E7D0" ma:contentTypeVersion="4" ma:contentTypeDescription="Create a new document." ma:contentTypeScope="" ma:versionID="da0ad130593f0ce3446bbdaa1054a7ec">
  <xsd:schema xmlns:xsd="http://www.w3.org/2001/XMLSchema" xmlns:xs="http://www.w3.org/2001/XMLSchema" xmlns:p="http://schemas.microsoft.com/office/2006/metadata/properties" xmlns:ns2="1a217ca7-7dbf-471f-b9ed-173c8ae6928d" xmlns:ns3="ca486b02-8ead-45f8-8c27-cf9e17967293" targetNamespace="http://schemas.microsoft.com/office/2006/metadata/properties" ma:root="true" ma:fieldsID="d7c3a7166129a8a0c04bd6b5f10b728c" ns2:_="" ns3:_="">
    <xsd:import namespace="1a217ca7-7dbf-471f-b9ed-173c8ae6928d"/>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a7-7dbf-471f-b9ed-173c8ae69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FD87-8869-4FA0-818D-0EE484CD61A1}">
  <ds:schemaRefs>
    <ds:schemaRef ds:uri="http://schemas.microsoft.com/sharepoint/v3/contenttype/forms"/>
  </ds:schemaRefs>
</ds:datastoreItem>
</file>

<file path=customXml/itemProps2.xml><?xml version="1.0" encoding="utf-8"?>
<ds:datastoreItem xmlns:ds="http://schemas.openxmlformats.org/officeDocument/2006/customXml" ds:itemID="{AE1F17DA-47CB-46B7-BC9B-CA61C168D1F5}"/>
</file>

<file path=customXml/itemProps3.xml><?xml version="1.0" encoding="utf-8"?>
<ds:datastoreItem xmlns:ds="http://schemas.openxmlformats.org/officeDocument/2006/customXml" ds:itemID="{C0F6B968-7DCF-47AD-B8D2-719F661B7804}">
  <ds:schemaRefs>
    <ds:schemaRef ds:uri="http://schemas.microsoft.com/office/2006/metadata/properties"/>
    <ds:schemaRef ds:uri="http://schemas.microsoft.com/office/infopath/2007/PartnerControls"/>
    <ds:schemaRef ds:uri="6a88bcae-4ed9-4c7c-8601-22e07ac1b11d"/>
  </ds:schemaRefs>
</ds:datastoreItem>
</file>

<file path=customXml/itemProps4.xml><?xml version="1.0" encoding="utf-8"?>
<ds:datastoreItem xmlns:ds="http://schemas.openxmlformats.org/officeDocument/2006/customXml" ds:itemID="{730B119C-0CB2-45D3-B4AE-27428A42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1920</Words>
  <Characters>10562</Characters>
  <Application>Microsoft Office Word</Application>
  <DocSecurity>0</DocSecurity>
  <Lines>88</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AR Nutrivigilence</vt:lpstr>
      <vt:lpstr>AR Nutrivigilence</vt:lpstr>
      <vt:lpstr>AR Nutrivigilence</vt:lpstr>
    </vt:vector>
  </TitlesOfParts>
  <Company>HEALTH FGOV GE</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Nutrivigilence</dc:title>
  <dc:creator>De Pauw Katrien</dc:creator>
  <cp:lastModifiedBy>Dominique De Clock (SPF Santé Publique - FOD Volksgezondheid)</cp:lastModifiedBy>
  <cp:revision>3</cp:revision>
  <cp:lastPrinted>2019-08-19T11:58:00Z</cp:lastPrinted>
  <dcterms:created xsi:type="dcterms:W3CDTF">2023-01-29T15:31:00Z</dcterms:created>
  <dcterms:modified xsi:type="dcterms:W3CDTF">2023-01-29T15:44:00Z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0x0101006175C41FAC10AB4795EAE5636E45E7D0</vt:lpwstr>
  </property>
</Properties>
</file>