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06" w:rsidRDefault="00F07406" w:rsidP="00F07406">
      <w:pPr>
        <w:spacing w:after="0" w:line="240" w:lineRule="auto"/>
        <w:jc w:val="center"/>
        <w:rPr>
          <w:b/>
          <w:bCs/>
          <w:lang w:val="fr-BE"/>
        </w:rPr>
      </w:pPr>
      <w:r>
        <w:rPr>
          <w:b/>
          <w:bCs/>
          <w:lang w:val="fr-BE"/>
        </w:rPr>
        <w:t>COMMUNIQUÉ DE PRESSE – 25 septembre 2013 – POUR PUBLICATION IMMÉDIATE</w:t>
      </w:r>
    </w:p>
    <w:p w:rsidR="00F07406" w:rsidRDefault="00F07406" w:rsidP="00F07406">
      <w:pPr>
        <w:spacing w:after="0" w:line="240" w:lineRule="auto"/>
        <w:jc w:val="center"/>
        <w:rPr>
          <w:b/>
          <w:bCs/>
          <w:lang w:val="fr-BE"/>
        </w:rPr>
      </w:pPr>
    </w:p>
    <w:p w:rsidR="00F07406" w:rsidRDefault="00F07406" w:rsidP="00F07406">
      <w:pPr>
        <w:spacing w:after="0" w:line="240" w:lineRule="auto"/>
        <w:rPr>
          <w:b/>
          <w:bCs/>
          <w:lang w:val="fr-BE"/>
        </w:rPr>
      </w:pPr>
    </w:p>
    <w:p w:rsidR="00F07406" w:rsidRDefault="00F07406" w:rsidP="00F07406">
      <w:pPr>
        <w:spacing w:after="0" w:line="240" w:lineRule="auto"/>
        <w:rPr>
          <w:b/>
          <w:bCs/>
          <w:lang w:val="fr-BE"/>
        </w:rPr>
      </w:pPr>
      <w:r>
        <w:rPr>
          <w:b/>
          <w:bCs/>
          <w:lang w:val="fr-BE"/>
        </w:rPr>
        <w:t xml:space="preserve">5 fois « non » au projet de taxe sur les déchets soumis à l’obligation de reprise </w:t>
      </w:r>
    </w:p>
    <w:p w:rsidR="00F07406" w:rsidRDefault="00F07406" w:rsidP="00F07406">
      <w:pPr>
        <w:spacing w:after="0" w:line="240" w:lineRule="auto"/>
        <w:rPr>
          <w:b/>
          <w:bCs/>
          <w:lang w:val="fr-BE"/>
        </w:rPr>
      </w:pPr>
    </w:p>
    <w:p w:rsidR="00F07406" w:rsidRDefault="00F07406" w:rsidP="00F07406">
      <w:pPr>
        <w:spacing w:after="0" w:line="240" w:lineRule="auto"/>
        <w:rPr>
          <w:i/>
          <w:iCs/>
          <w:lang w:val="fr-BE"/>
        </w:rPr>
      </w:pPr>
      <w:r>
        <w:rPr>
          <w:i/>
          <w:iCs/>
          <w:lang w:val="fr-BE"/>
        </w:rPr>
        <w:t xml:space="preserve">Dans le cadre de l’élaboration du budget 2014, le gouvernement wallon envisage une nouvelle taxe sur les déchets soumis à une obligation de reprise. Les représentants des différents secteurs économiques souhaitent exprimer leur opposition à ce projet qui leur semble mettre en péril notre système de collecte et gestion des déchets, pourtant internationalement reconnu pour son efficacité. </w:t>
      </w:r>
      <w:proofErr w:type="spellStart"/>
      <w:r>
        <w:rPr>
          <w:b/>
          <w:bCs/>
          <w:i/>
          <w:iCs/>
          <w:lang w:val="fr-BE"/>
        </w:rPr>
        <w:t>Agoria</w:t>
      </w:r>
      <w:proofErr w:type="spellEnd"/>
      <w:r>
        <w:rPr>
          <w:i/>
          <w:iCs/>
          <w:lang w:val="fr-BE"/>
        </w:rPr>
        <w:t xml:space="preserve">, la fédération de l’industrie technologique, </w:t>
      </w:r>
      <w:proofErr w:type="spellStart"/>
      <w:r>
        <w:rPr>
          <w:b/>
          <w:bCs/>
          <w:i/>
          <w:iCs/>
          <w:lang w:val="fr-BE"/>
        </w:rPr>
        <w:t>Comeos</w:t>
      </w:r>
      <w:proofErr w:type="spellEnd"/>
      <w:r>
        <w:rPr>
          <w:i/>
          <w:iCs/>
          <w:lang w:val="fr-BE"/>
        </w:rPr>
        <w:t xml:space="preserve">, la fédération du commerce et des services, </w:t>
      </w:r>
      <w:proofErr w:type="spellStart"/>
      <w:r>
        <w:rPr>
          <w:b/>
          <w:bCs/>
          <w:i/>
          <w:iCs/>
          <w:lang w:val="fr-BE"/>
        </w:rPr>
        <w:t>Detic</w:t>
      </w:r>
      <w:proofErr w:type="spellEnd"/>
      <w:r>
        <w:rPr>
          <w:i/>
          <w:iCs/>
          <w:lang w:val="fr-BE"/>
        </w:rPr>
        <w:t xml:space="preserve">, association belgo-luxembourgeoise des producteurs et distributeurs de cosmétiques, produits de nettoyage et d’entretien, colles et mastics, </w:t>
      </w:r>
      <w:proofErr w:type="spellStart"/>
      <w:r>
        <w:rPr>
          <w:b/>
          <w:bCs/>
          <w:i/>
          <w:iCs/>
          <w:lang w:val="fr-BE"/>
        </w:rPr>
        <w:t>essenscia</w:t>
      </w:r>
      <w:proofErr w:type="spellEnd"/>
      <w:r>
        <w:rPr>
          <w:i/>
          <w:iCs/>
          <w:lang w:val="fr-BE"/>
        </w:rPr>
        <w:t xml:space="preserve">, la fédération de l’industrie chimique et des sciences de la vie, </w:t>
      </w:r>
      <w:r>
        <w:rPr>
          <w:b/>
          <w:bCs/>
          <w:i/>
          <w:iCs/>
          <w:lang w:val="fr-BE"/>
        </w:rPr>
        <w:t>FEDERAUTO</w:t>
      </w:r>
      <w:r>
        <w:rPr>
          <w:i/>
          <w:iCs/>
          <w:lang w:val="fr-BE"/>
        </w:rPr>
        <w:t xml:space="preserve">,  la Confédération du Commerce et de la Réparation automobiles et des Secteurs connexes, la </w:t>
      </w:r>
      <w:r>
        <w:rPr>
          <w:b/>
          <w:bCs/>
          <w:i/>
          <w:iCs/>
          <w:lang w:val="fr-BE"/>
        </w:rPr>
        <w:t>FEE</w:t>
      </w:r>
      <w:r>
        <w:rPr>
          <w:i/>
          <w:iCs/>
          <w:lang w:val="fr-BE"/>
        </w:rPr>
        <w:t xml:space="preserve">, la  fédération de l’Electricité et de l’Electronique et </w:t>
      </w:r>
      <w:proofErr w:type="spellStart"/>
      <w:r>
        <w:rPr>
          <w:b/>
          <w:bCs/>
          <w:i/>
          <w:iCs/>
          <w:lang w:val="fr-BE"/>
        </w:rPr>
        <w:t>Fevia</w:t>
      </w:r>
      <w:proofErr w:type="spellEnd"/>
      <w:r>
        <w:rPr>
          <w:i/>
          <w:iCs/>
          <w:lang w:val="fr-BE"/>
        </w:rPr>
        <w:t>, la fédération de l’industrie alimentaire,</w:t>
      </w:r>
      <w:r>
        <w:rPr>
          <w:i/>
          <w:iCs/>
          <w:lang w:val="fr-BE" w:eastAsia="nl-BE"/>
        </w:rPr>
        <w:t xml:space="preserve"> jugent cette mesure </w:t>
      </w:r>
      <w:r>
        <w:rPr>
          <w:i/>
          <w:iCs/>
          <w:lang w:val="fr-BE"/>
        </w:rPr>
        <w:t>contre-productive, anti économique, anti environnementale et impossible à mettre en pratique.</w:t>
      </w:r>
    </w:p>
    <w:p w:rsidR="00F07406" w:rsidRDefault="00F07406" w:rsidP="00F07406">
      <w:pPr>
        <w:spacing w:after="0" w:line="240" w:lineRule="auto"/>
        <w:rPr>
          <w:i/>
          <w:iCs/>
          <w:lang w:val="fr-BE"/>
        </w:rPr>
      </w:pPr>
    </w:p>
    <w:p w:rsidR="00F07406" w:rsidRDefault="00F07406" w:rsidP="00F07406">
      <w:pPr>
        <w:spacing w:after="0" w:line="240" w:lineRule="auto"/>
        <w:rPr>
          <w:lang w:val="fr-BE"/>
        </w:rPr>
      </w:pPr>
      <w:r>
        <w:rPr>
          <w:lang w:val="fr-BE"/>
        </w:rPr>
        <w:t xml:space="preserve">Dans le cadre de l’élaboration du budget 2014, le gouvernement wallon envisage une nouvelle taxe sur les déchets soumis à une obligation de reprise, tels que les emballages, les huiles usagées, les déchets de piles et d’accumulateurs, les pneus usagés, les véhicules hors d’usage  ou encore les équipements électriques usagés. Les différents secteurs économiques concernés ont déjà réagi ces derniers jours auprès du gouvernement wallon : </w:t>
      </w:r>
      <w:r>
        <w:rPr>
          <w:lang w:val="fr-BE" w:eastAsia="nl-BE"/>
        </w:rPr>
        <w:t>si ce projet devait voir le jour, il constituerait un non-sens sur les plans économique et environnemental. Sans compter qu’il serait pratiquement impossible à mettre en application. Et ce, pour cinq raisons au moins…</w:t>
      </w:r>
    </w:p>
    <w:p w:rsidR="00F07406" w:rsidRDefault="00F07406" w:rsidP="00F07406">
      <w:pPr>
        <w:pStyle w:val="Default"/>
        <w:rPr>
          <w:rFonts w:ascii="Calibri" w:hAnsi="Calibri" w:cs="Calibri"/>
          <w:sz w:val="22"/>
          <w:szCs w:val="22"/>
          <w:lang w:val="fr-BE"/>
        </w:rPr>
      </w:pPr>
    </w:p>
    <w:p w:rsidR="00F07406" w:rsidRDefault="00F07406" w:rsidP="00F07406">
      <w:pPr>
        <w:pStyle w:val="ListParagraph"/>
        <w:numPr>
          <w:ilvl w:val="0"/>
          <w:numId w:val="1"/>
        </w:numPr>
        <w:spacing w:after="0" w:line="240" w:lineRule="auto"/>
        <w:rPr>
          <w:lang w:val="fr-BE"/>
        </w:rPr>
      </w:pPr>
      <w:r>
        <w:rPr>
          <w:b/>
          <w:bCs/>
          <w:lang w:val="fr-BE" w:eastAsia="nl-BE"/>
        </w:rPr>
        <w:t xml:space="preserve">Pourquoi aller à l’encontre d’un système qui a fait ses preuves ? </w:t>
      </w:r>
      <w:r>
        <w:rPr>
          <w:b/>
          <w:bCs/>
          <w:lang w:val="fr-BE" w:eastAsia="nl-BE"/>
        </w:rPr>
        <w:br/>
        <w:t>Reconnus par l’Europe</w:t>
      </w:r>
      <w:r>
        <w:rPr>
          <w:lang w:val="fr-BE" w:eastAsia="nl-BE"/>
        </w:rPr>
        <w:t>, l</w:t>
      </w:r>
      <w:r>
        <w:rPr>
          <w:lang w:val="fr-BE"/>
        </w:rPr>
        <w:t xml:space="preserve">es systèmes collectifs belges sont parmi ceux qui obtiennent les </w:t>
      </w:r>
      <w:r>
        <w:rPr>
          <w:b/>
          <w:bCs/>
          <w:lang w:val="fr-BE"/>
        </w:rPr>
        <w:t xml:space="preserve">meilleurs résultats de collecte, de réutilisation et de recyclage </w:t>
      </w:r>
      <w:r>
        <w:rPr>
          <w:lang w:val="fr-BE"/>
        </w:rPr>
        <w:t>grâce aux actions des secteurs économiques concernés. Ils font figure d’exemples dans l’Europe entière et même dans le reste du monde : des délégations internationales viennent régulièrement en Belgique afin de mieux se rendre compte et s’inspirer des solutions développées chez nous. Les investissements réalisés pour mettre en œuvre ces systèmes ont boosté le secteur économique du recyclage. Taxer un système considéré comme un modèle est un non-sens.</w:t>
      </w:r>
    </w:p>
    <w:p w:rsidR="00F07406" w:rsidRDefault="00F07406" w:rsidP="00F07406">
      <w:pPr>
        <w:pStyle w:val="ListParagraph"/>
        <w:spacing w:after="0" w:line="240" w:lineRule="auto"/>
        <w:ind w:left="360"/>
        <w:rPr>
          <w:lang w:val="fr-BE"/>
        </w:rPr>
      </w:pPr>
    </w:p>
    <w:p w:rsidR="00F07406" w:rsidRDefault="00F07406" w:rsidP="00F07406">
      <w:pPr>
        <w:pStyle w:val="ListParagraph"/>
        <w:numPr>
          <w:ilvl w:val="0"/>
          <w:numId w:val="1"/>
        </w:numPr>
        <w:spacing w:after="0" w:line="240" w:lineRule="auto"/>
        <w:rPr>
          <w:lang w:val="fr-BE"/>
        </w:rPr>
      </w:pPr>
      <w:r>
        <w:rPr>
          <w:b/>
          <w:bCs/>
          <w:lang w:val="fr-BE" w:eastAsia="nl-BE"/>
        </w:rPr>
        <w:t xml:space="preserve">Pourquoi punir les comportements écologiques ? </w:t>
      </w:r>
      <w:r>
        <w:rPr>
          <w:b/>
          <w:bCs/>
          <w:lang w:val="fr-BE" w:eastAsia="nl-BE"/>
        </w:rPr>
        <w:br/>
      </w:r>
      <w:r>
        <w:rPr>
          <w:lang w:val="fr-BE"/>
        </w:rPr>
        <w:t xml:space="preserve">Le projet de taxation vise les producteurs et leurs organismes de gestion qui contribuent activement à la réalisation des objectifs fixés. La taxe va dès lors </w:t>
      </w:r>
      <w:r>
        <w:rPr>
          <w:b/>
          <w:bCs/>
          <w:lang w:val="fr-BE"/>
        </w:rPr>
        <w:t>punir les comportements respectueux de l’environnement</w:t>
      </w:r>
      <w:r>
        <w:rPr>
          <w:lang w:val="fr-BE"/>
        </w:rPr>
        <w:t xml:space="preserve">, alors que pendant ce temps, peu de moyens – voire aucuns – ne sont mis en œuvre pour traquer et contrôler les « free </w:t>
      </w:r>
      <w:proofErr w:type="spellStart"/>
      <w:r>
        <w:rPr>
          <w:lang w:val="fr-BE"/>
        </w:rPr>
        <w:t>riders</w:t>
      </w:r>
      <w:proofErr w:type="spellEnd"/>
      <w:r>
        <w:rPr>
          <w:lang w:val="fr-BE"/>
        </w:rPr>
        <w:t> » et les réseaux parallèles qui ne respectent aucune obligation. Le projet de taxe se trompe donc clairement de cible.</w:t>
      </w:r>
    </w:p>
    <w:p w:rsidR="00F07406" w:rsidRDefault="00F07406" w:rsidP="00F07406">
      <w:pPr>
        <w:pStyle w:val="ListParagraph"/>
        <w:rPr>
          <w:lang w:val="fr-BE"/>
        </w:rPr>
      </w:pPr>
    </w:p>
    <w:p w:rsidR="00F07406" w:rsidRDefault="00F07406" w:rsidP="00F07406">
      <w:pPr>
        <w:pStyle w:val="ListParagraph"/>
        <w:numPr>
          <w:ilvl w:val="0"/>
          <w:numId w:val="1"/>
        </w:numPr>
        <w:spacing w:after="0" w:line="240" w:lineRule="auto"/>
        <w:rPr>
          <w:lang w:val="fr-BE"/>
        </w:rPr>
      </w:pPr>
      <w:r>
        <w:rPr>
          <w:b/>
          <w:bCs/>
          <w:lang w:val="fr-BE" w:eastAsia="nl-BE"/>
        </w:rPr>
        <w:t>Pourquoi instaurer une taxe « inapplicable » qui va déstructurer les systèmes mis en place ?</w:t>
      </w:r>
      <w:r>
        <w:rPr>
          <w:lang w:val="fr-BE"/>
        </w:rPr>
        <w:t xml:space="preserve"> </w:t>
      </w:r>
      <w:r>
        <w:rPr>
          <w:lang w:val="fr-BE" w:eastAsia="nl-BE"/>
        </w:rPr>
        <w:br/>
      </w:r>
      <w:r>
        <w:rPr>
          <w:lang w:val="fr-BE"/>
        </w:rPr>
        <w:t xml:space="preserve">Cette taxe est restée dans les cartons pendant des années et n’a jamais été mise en œuvre. Cela s’explique par les </w:t>
      </w:r>
      <w:r>
        <w:rPr>
          <w:b/>
          <w:bCs/>
          <w:lang w:val="fr-BE"/>
        </w:rPr>
        <w:t>difficultés d’application</w:t>
      </w:r>
      <w:r>
        <w:rPr>
          <w:lang w:val="fr-BE"/>
        </w:rPr>
        <w:t xml:space="preserve"> inhérentes au régime de taxation lui-même, et notamment l’impossibilité de fixer et d’utiliser des méthodes appropriées pour déterminer la base de taxation. Celle-ci nécessite en effet de déterminer le poids des déchets issus des produits mis sur le marché wallon ou sortant de ce marché régional, ce qui est matériellement impossible. Or, il n’est pas concevable d’imposer une taxe-sanction sans que la définition de la base taxable soit précise et irréprochable. C’est tellement vrai que l’administration elle-même propose d’abroger ce régime dans sa proposition de plan wallon des déchets. </w:t>
      </w:r>
      <w:r>
        <w:rPr>
          <w:lang w:val="fr-BE" w:eastAsia="nl-BE"/>
        </w:rPr>
        <w:t xml:space="preserve">Une </w:t>
      </w:r>
      <w:r>
        <w:rPr>
          <w:lang w:val="fr-BE" w:eastAsia="nl-BE"/>
        </w:rPr>
        <w:lastRenderedPageBreak/>
        <w:t>mise en œuvre simpliste et « au forceps » va déboucher sur une application discriminatoire entre entreprises, entre redevables individuels et organismes collectifs, entre les producteurs tentant d’atteindre leurs objectifs et les « resquilleurs » ne respectant pas les réglementations, etc.</w:t>
      </w:r>
      <w:r>
        <w:rPr>
          <w:b/>
          <w:bCs/>
          <w:lang w:val="fr-BE" w:eastAsia="nl-BE"/>
        </w:rPr>
        <w:t xml:space="preserve"> </w:t>
      </w:r>
      <w:r>
        <w:rPr>
          <w:lang w:val="fr-BE"/>
        </w:rPr>
        <w:t xml:space="preserve">L’application de la taxe va créer un chaos inextricable au niveau des obligations de reprise. </w:t>
      </w:r>
    </w:p>
    <w:p w:rsidR="00F07406" w:rsidRDefault="00F07406" w:rsidP="00F07406">
      <w:pPr>
        <w:pStyle w:val="ListParagraph"/>
        <w:spacing w:after="0" w:line="240" w:lineRule="auto"/>
        <w:ind w:left="360"/>
        <w:rPr>
          <w:lang w:val="fr-BE"/>
        </w:rPr>
      </w:pPr>
    </w:p>
    <w:p w:rsidR="00F07406" w:rsidRDefault="00F07406" w:rsidP="00F07406">
      <w:pPr>
        <w:pStyle w:val="NoSpacing"/>
        <w:numPr>
          <w:ilvl w:val="0"/>
          <w:numId w:val="1"/>
        </w:numPr>
        <w:rPr>
          <w:lang w:val="fr-BE"/>
        </w:rPr>
      </w:pPr>
      <w:r>
        <w:rPr>
          <w:b/>
          <w:bCs/>
          <w:lang w:val="fr-BE" w:eastAsia="nl-BE"/>
        </w:rPr>
        <w:t>Pourquoi discriminer la Wallonie par rapport aux autres Régions ?</w:t>
      </w:r>
      <w:r>
        <w:rPr>
          <w:b/>
          <w:bCs/>
          <w:lang w:val="fr-BE" w:eastAsia="nl-BE"/>
        </w:rPr>
        <w:br/>
      </w:r>
      <w:r>
        <w:rPr>
          <w:lang w:val="fr-BE"/>
        </w:rPr>
        <w:t xml:space="preserve">La taxe envisagée aura pour effet de </w:t>
      </w:r>
      <w:r>
        <w:rPr>
          <w:b/>
          <w:bCs/>
          <w:lang w:val="fr-BE"/>
        </w:rPr>
        <w:t>discriminer la Wallonie</w:t>
      </w:r>
      <w:r>
        <w:rPr>
          <w:lang w:val="fr-BE"/>
        </w:rPr>
        <w:t xml:space="preserve">, ses entreprises et ses consommateurs. </w:t>
      </w:r>
      <w:r>
        <w:rPr>
          <w:rStyle w:val="Emphasis"/>
          <w:lang w:val="fr-FR"/>
        </w:rPr>
        <w:t>L</w:t>
      </w:r>
      <w:r>
        <w:rPr>
          <w:lang w:val="fr-FR"/>
        </w:rPr>
        <w:t>es entreprises actives sur le territoire wallon devront assumer cette charge supplémentaire et seront ainsi défavorisées par rapport à celles situées dans les autres Régions ou à l’étranger. Il va de soi qu’au final c’est le consommateur wallon qui risque de payer l’addition.</w:t>
      </w:r>
    </w:p>
    <w:p w:rsidR="00F07406" w:rsidRDefault="00F07406" w:rsidP="00F07406">
      <w:pPr>
        <w:pStyle w:val="ListParagraph"/>
        <w:rPr>
          <w:lang w:val="fr-BE"/>
        </w:rPr>
      </w:pPr>
    </w:p>
    <w:p w:rsidR="00F07406" w:rsidRDefault="00F07406" w:rsidP="00F07406">
      <w:pPr>
        <w:pStyle w:val="ListParagraph"/>
        <w:numPr>
          <w:ilvl w:val="0"/>
          <w:numId w:val="1"/>
        </w:numPr>
        <w:autoSpaceDE w:val="0"/>
        <w:autoSpaceDN w:val="0"/>
        <w:spacing w:after="0" w:line="240" w:lineRule="auto"/>
        <w:rPr>
          <w:lang w:val="fr-BE" w:eastAsia="nl-BE"/>
        </w:rPr>
      </w:pPr>
      <w:r>
        <w:rPr>
          <w:b/>
          <w:bCs/>
          <w:lang w:val="fr-BE" w:eastAsia="nl-BE"/>
        </w:rPr>
        <w:t>Pourquoi imposer de nouvelles taxes aux entreprises wallonnes, en contradiction avec le Plan Marshall 2022 ?</w:t>
      </w:r>
      <w:r>
        <w:rPr>
          <w:lang w:val="fr-BE" w:eastAsia="nl-BE"/>
        </w:rPr>
        <w:t xml:space="preserve"> </w:t>
      </w:r>
      <w:r>
        <w:rPr>
          <w:lang w:val="fr-BE" w:eastAsia="nl-BE"/>
        </w:rPr>
        <w:br/>
        <w:t xml:space="preserve">Le Plan Marshall 2022, adopté par le gouvernement wallon fin août, repose sur deux axes stratégiques. L’un d’eux vise à promouvoir « une économie compétitive ». Parmi les mesures qu’il énonce, on lit notamment ceci : </w:t>
      </w:r>
      <w:r>
        <w:rPr>
          <w:i/>
          <w:iCs/>
          <w:lang w:val="fr-BE"/>
        </w:rPr>
        <w:t>« faire de l’enjeu des déchets une opportunité économique en développant une filière intégrée du recyclage en Wallonie »,</w:t>
      </w:r>
      <w:r>
        <w:rPr>
          <w:lang w:val="fr-BE" w:eastAsia="nl-BE"/>
        </w:rPr>
        <w:t xml:space="preserve"> et plus précisément </w:t>
      </w:r>
      <w:r>
        <w:rPr>
          <w:i/>
          <w:iCs/>
          <w:lang w:val="fr-BE"/>
        </w:rPr>
        <w:t xml:space="preserve">« adapter la fiscalité sur les déchets tout en garantissant la compétitivité des entreprises wallonnes </w:t>
      </w:r>
      <w:r>
        <w:rPr>
          <w:i/>
          <w:iCs/>
          <w:lang w:val="fr-BE" w:eastAsia="nl-BE"/>
        </w:rPr>
        <w:t xml:space="preserve">» </w:t>
      </w:r>
      <w:r>
        <w:rPr>
          <w:lang w:val="fr-BE" w:eastAsia="nl-BE"/>
        </w:rPr>
        <w:t>(mesure 41). Bref, la taxe projetée renierait les objectifs fixés par le Plan Marshall 2022.</w:t>
      </w:r>
    </w:p>
    <w:p w:rsidR="00F07406" w:rsidRDefault="00F07406" w:rsidP="00F07406">
      <w:pPr>
        <w:spacing w:after="0" w:line="240" w:lineRule="auto"/>
        <w:rPr>
          <w:lang w:val="fr-BE" w:eastAsia="nl-BE"/>
        </w:rPr>
      </w:pPr>
    </w:p>
    <w:p w:rsidR="00F07406" w:rsidRDefault="00F07406" w:rsidP="00F07406">
      <w:pPr>
        <w:spacing w:after="0" w:line="240" w:lineRule="auto"/>
        <w:rPr>
          <w:lang w:val="fr-BE" w:eastAsia="nl-BE"/>
        </w:rPr>
      </w:pPr>
      <w:r>
        <w:rPr>
          <w:lang w:val="fr-BE" w:eastAsia="nl-BE"/>
        </w:rPr>
        <w:t xml:space="preserve">En conclusion, </w:t>
      </w:r>
      <w:proofErr w:type="spellStart"/>
      <w:r>
        <w:rPr>
          <w:b/>
          <w:bCs/>
          <w:lang w:val="fr-BE"/>
        </w:rPr>
        <w:t>Agoria</w:t>
      </w:r>
      <w:proofErr w:type="spellEnd"/>
      <w:r>
        <w:rPr>
          <w:lang w:val="fr-BE"/>
        </w:rPr>
        <w:t xml:space="preserve">, la fédération de l’industrie technologique, </w:t>
      </w:r>
      <w:proofErr w:type="spellStart"/>
      <w:r>
        <w:rPr>
          <w:b/>
          <w:bCs/>
          <w:lang w:val="fr-BE"/>
        </w:rPr>
        <w:t>Comeos</w:t>
      </w:r>
      <w:proofErr w:type="spellEnd"/>
      <w:r>
        <w:rPr>
          <w:lang w:val="fr-BE"/>
        </w:rPr>
        <w:t xml:space="preserve">, la fédération du commerce et des services, </w:t>
      </w:r>
      <w:proofErr w:type="spellStart"/>
      <w:r>
        <w:rPr>
          <w:b/>
          <w:bCs/>
          <w:lang w:val="fr-BE"/>
        </w:rPr>
        <w:t>essenscia</w:t>
      </w:r>
      <w:proofErr w:type="spellEnd"/>
      <w:r>
        <w:rPr>
          <w:lang w:val="fr-BE"/>
        </w:rPr>
        <w:t xml:space="preserve">, la fédération wallonne de l’industrie chimique et des sciences de la vie, </w:t>
      </w:r>
      <w:proofErr w:type="spellStart"/>
      <w:r>
        <w:rPr>
          <w:b/>
          <w:bCs/>
          <w:lang w:val="fr-BE"/>
        </w:rPr>
        <w:t>Detic</w:t>
      </w:r>
      <w:proofErr w:type="spellEnd"/>
      <w:r>
        <w:rPr>
          <w:lang w:val="fr-BE"/>
        </w:rPr>
        <w:t xml:space="preserve">, association belgo-luxembourgeoise des producteurs et distributeurs de cosmétiques, produits de nettoyage et d’entretien, colles et mastics, </w:t>
      </w:r>
      <w:r>
        <w:rPr>
          <w:b/>
          <w:bCs/>
          <w:lang w:val="fr-BE"/>
        </w:rPr>
        <w:t>FEDERAUTO</w:t>
      </w:r>
      <w:r>
        <w:rPr>
          <w:lang w:val="fr-BE"/>
        </w:rPr>
        <w:t xml:space="preserve">, la Confédération du Commerce et de la Réparation automobiles et des Secteurs connexes, la </w:t>
      </w:r>
      <w:r>
        <w:rPr>
          <w:b/>
          <w:bCs/>
          <w:lang w:val="fr-BE"/>
        </w:rPr>
        <w:t>FEE</w:t>
      </w:r>
      <w:r>
        <w:rPr>
          <w:lang w:val="fr-BE"/>
        </w:rPr>
        <w:t xml:space="preserve">, la  fédération de l’Electricité et de l’Electronique et </w:t>
      </w:r>
      <w:proofErr w:type="spellStart"/>
      <w:r>
        <w:rPr>
          <w:b/>
          <w:bCs/>
          <w:lang w:val="fr-BE"/>
        </w:rPr>
        <w:t>Fevia</w:t>
      </w:r>
      <w:proofErr w:type="spellEnd"/>
      <w:r>
        <w:rPr>
          <w:lang w:val="fr-BE"/>
        </w:rPr>
        <w:t>, la fédération de l’industrie alimentaire,</w:t>
      </w:r>
      <w:r>
        <w:rPr>
          <w:lang w:val="fr-BE" w:eastAsia="nl-BE"/>
        </w:rPr>
        <w:t xml:space="preserve"> appellent dès lors le Gouvernement wallon à renoncer à cette taxe de manière à rester cohérent avec les objectifs du Plan Marshall 2022 visant à créer un climat économique favorable aux entreprises dans le respect de l’environnement.</w:t>
      </w:r>
    </w:p>
    <w:p w:rsidR="00F07406" w:rsidRDefault="00F07406" w:rsidP="00F07406">
      <w:pPr>
        <w:spacing w:after="0" w:line="240" w:lineRule="auto"/>
        <w:rPr>
          <w:b/>
          <w:bCs/>
          <w:lang w:val="fr-BE" w:eastAsia="nl-BE"/>
        </w:rPr>
      </w:pPr>
    </w:p>
    <w:p w:rsidR="00F07406" w:rsidRDefault="00F07406" w:rsidP="00F07406">
      <w:pPr>
        <w:spacing w:after="0" w:line="240" w:lineRule="auto"/>
        <w:rPr>
          <w:b/>
          <w:bCs/>
          <w:lang w:val="fr-BE" w:eastAsia="nl-BE"/>
        </w:rPr>
      </w:pPr>
    </w:p>
    <w:p w:rsidR="00F07406" w:rsidRDefault="00F07406" w:rsidP="00F07406">
      <w:pPr>
        <w:spacing w:after="0" w:line="240" w:lineRule="auto"/>
        <w:rPr>
          <w:b/>
          <w:bCs/>
          <w:lang w:val="fr-BE" w:eastAsia="nl-BE"/>
        </w:rPr>
      </w:pPr>
      <w:bookmarkStart w:id="0" w:name="_GoBack"/>
      <w:bookmarkEnd w:id="0"/>
    </w:p>
    <w:tbl>
      <w:tblPr>
        <w:tblW w:w="0" w:type="auto"/>
        <w:tblCellMar>
          <w:left w:w="0" w:type="dxa"/>
          <w:right w:w="0" w:type="dxa"/>
        </w:tblCellMar>
        <w:tblLook w:val="04A0" w:firstRow="1" w:lastRow="0" w:firstColumn="1" w:lastColumn="0" w:noHBand="0" w:noVBand="1"/>
      </w:tblPr>
      <w:tblGrid>
        <w:gridCol w:w="2414"/>
        <w:gridCol w:w="2567"/>
        <w:gridCol w:w="1800"/>
        <w:gridCol w:w="1979"/>
        <w:gridCol w:w="1670"/>
        <w:gridCol w:w="1727"/>
        <w:gridCol w:w="2063"/>
      </w:tblGrid>
      <w:tr w:rsidR="00F07406" w:rsidTr="00F07406">
        <w:tc>
          <w:tcPr>
            <w:tcW w:w="3138" w:type="dxa"/>
            <w:tcMar>
              <w:top w:w="0" w:type="dxa"/>
              <w:left w:w="108" w:type="dxa"/>
              <w:bottom w:w="0" w:type="dxa"/>
              <w:right w:w="108" w:type="dxa"/>
            </w:tcMar>
          </w:tcPr>
          <w:p w:rsidR="00F07406" w:rsidRDefault="00F07406">
            <w:pPr>
              <w:spacing w:after="0" w:line="240" w:lineRule="auto"/>
              <w:rPr>
                <w:b/>
                <w:bCs/>
                <w:lang w:val="fr-BE" w:eastAsia="nl-BE"/>
              </w:rPr>
            </w:pPr>
            <w:r>
              <w:rPr>
                <w:b/>
                <w:bCs/>
                <w:noProof/>
                <w:lang w:eastAsia="nl-BE"/>
              </w:rPr>
              <w:drawing>
                <wp:inline distT="0" distB="0" distL="0" distR="0" wp14:anchorId="094817E5" wp14:editId="2DC961B1">
                  <wp:extent cx="1485900" cy="752475"/>
                  <wp:effectExtent l="0" t="0" r="0" b="9525"/>
                  <wp:docPr id="7" name="Picture 7" descr="ag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gori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5900" cy="752475"/>
                          </a:xfrm>
                          <a:prstGeom prst="rect">
                            <a:avLst/>
                          </a:prstGeom>
                          <a:noFill/>
                          <a:ln>
                            <a:noFill/>
                          </a:ln>
                        </pic:spPr>
                      </pic:pic>
                    </a:graphicData>
                  </a:graphic>
                </wp:inline>
              </w:drawing>
            </w:r>
          </w:p>
          <w:p w:rsidR="00F07406" w:rsidRDefault="00F07406">
            <w:pPr>
              <w:spacing w:after="0" w:line="240" w:lineRule="auto"/>
              <w:rPr>
                <w:lang w:val="fr-BE" w:eastAsia="nl-BE"/>
              </w:rPr>
            </w:pPr>
            <w:r>
              <w:rPr>
                <w:b/>
                <w:bCs/>
                <w:lang w:val="fr-BE" w:eastAsia="nl-BE"/>
              </w:rPr>
              <w:t xml:space="preserve">Contact presse </w:t>
            </w:r>
            <w:proofErr w:type="spellStart"/>
            <w:r>
              <w:rPr>
                <w:b/>
                <w:bCs/>
                <w:lang w:val="fr-BE" w:eastAsia="nl-BE"/>
              </w:rPr>
              <w:t>Agoria</w:t>
            </w:r>
            <w:proofErr w:type="spellEnd"/>
            <w:r>
              <w:rPr>
                <w:b/>
                <w:bCs/>
                <w:lang w:val="fr-BE" w:eastAsia="nl-BE"/>
              </w:rPr>
              <w:t> :</w:t>
            </w:r>
            <w:r>
              <w:rPr>
                <w:lang w:val="fr-BE" w:eastAsia="nl-BE"/>
              </w:rPr>
              <w:t xml:space="preserve"> </w:t>
            </w:r>
          </w:p>
          <w:p w:rsidR="00F07406" w:rsidRDefault="00F07406">
            <w:pPr>
              <w:spacing w:after="0" w:line="240" w:lineRule="auto"/>
              <w:rPr>
                <w:lang w:val="fr-BE" w:eastAsia="nl-BE"/>
              </w:rPr>
            </w:pPr>
            <w:r>
              <w:rPr>
                <w:lang w:val="fr-BE" w:eastAsia="nl-BE"/>
              </w:rPr>
              <w:t xml:space="preserve">Sibylle </w:t>
            </w:r>
            <w:proofErr w:type="spellStart"/>
            <w:r>
              <w:rPr>
                <w:lang w:val="fr-BE" w:eastAsia="nl-BE"/>
              </w:rPr>
              <w:t>Dechamps</w:t>
            </w:r>
            <w:proofErr w:type="spellEnd"/>
            <w:r>
              <w:rPr>
                <w:lang w:val="fr-BE" w:eastAsia="nl-BE"/>
              </w:rPr>
              <w:t xml:space="preserve"> </w:t>
            </w:r>
          </w:p>
          <w:p w:rsidR="00F07406" w:rsidRDefault="00F07406">
            <w:pPr>
              <w:spacing w:after="0" w:line="240" w:lineRule="auto"/>
              <w:rPr>
                <w:lang w:val="fr-BE" w:eastAsia="nl-BE"/>
              </w:rPr>
            </w:pPr>
            <w:hyperlink r:id="rId10" w:history="1">
              <w:r>
                <w:rPr>
                  <w:rStyle w:val="Hyperlink"/>
                  <w:lang w:val="fr-BE" w:eastAsia="nl-BE"/>
                </w:rPr>
                <w:t>sibylle.dechamps@agoria.be</w:t>
              </w:r>
            </w:hyperlink>
            <w:r>
              <w:rPr>
                <w:lang w:val="fr-BE" w:eastAsia="nl-BE"/>
              </w:rPr>
              <w:t xml:space="preserve">  </w:t>
            </w:r>
          </w:p>
          <w:p w:rsidR="00F07406" w:rsidRDefault="00F07406">
            <w:pPr>
              <w:spacing w:after="0" w:line="240" w:lineRule="auto"/>
              <w:rPr>
                <w:lang w:val="fr-BE" w:eastAsia="nl-BE"/>
              </w:rPr>
            </w:pPr>
            <w:r>
              <w:rPr>
                <w:lang w:val="fr-BE" w:eastAsia="nl-BE"/>
              </w:rPr>
              <w:t>0491/62.19.03</w:t>
            </w:r>
          </w:p>
          <w:p w:rsidR="00F07406" w:rsidRDefault="00F07406">
            <w:pPr>
              <w:spacing w:after="0" w:line="240" w:lineRule="auto"/>
              <w:rPr>
                <w:b/>
                <w:bCs/>
                <w:lang w:val="fr-BE" w:eastAsia="nl-BE"/>
              </w:rPr>
            </w:pPr>
          </w:p>
        </w:tc>
        <w:tc>
          <w:tcPr>
            <w:tcW w:w="3098" w:type="dxa"/>
            <w:tcMar>
              <w:top w:w="0" w:type="dxa"/>
              <w:left w:w="108" w:type="dxa"/>
              <w:bottom w:w="0" w:type="dxa"/>
              <w:right w:w="108" w:type="dxa"/>
            </w:tcMar>
          </w:tcPr>
          <w:p w:rsidR="00F07406" w:rsidRDefault="00F07406">
            <w:pPr>
              <w:spacing w:after="0" w:line="240" w:lineRule="auto"/>
              <w:rPr>
                <w:lang w:val="fr-BE" w:eastAsia="nl-BE"/>
              </w:rPr>
            </w:pPr>
            <w:r>
              <w:rPr>
                <w:noProof/>
                <w:lang w:eastAsia="nl-BE"/>
              </w:rPr>
              <w:drawing>
                <wp:inline distT="0" distB="0" distL="0" distR="0" wp14:anchorId="21B5914E" wp14:editId="4D94142F">
                  <wp:extent cx="1304925" cy="438150"/>
                  <wp:effectExtent l="0" t="0" r="9525" b="0"/>
                  <wp:docPr id="6" name="Picture 6" descr="Comeos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meos walloni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a:ln>
                            <a:noFill/>
                          </a:ln>
                        </pic:spPr>
                      </pic:pic>
                    </a:graphicData>
                  </a:graphic>
                </wp:inline>
              </w:drawing>
            </w:r>
          </w:p>
          <w:p w:rsidR="00F07406" w:rsidRDefault="00F07406">
            <w:pPr>
              <w:spacing w:after="0" w:line="240" w:lineRule="auto"/>
              <w:rPr>
                <w:b/>
                <w:bCs/>
                <w:lang w:val="fr-BE" w:eastAsia="nl-BE"/>
              </w:rPr>
            </w:pPr>
          </w:p>
          <w:p w:rsidR="00F07406" w:rsidRDefault="00F07406">
            <w:pPr>
              <w:spacing w:after="0" w:line="240" w:lineRule="auto"/>
              <w:rPr>
                <w:b/>
                <w:bCs/>
                <w:lang w:val="fr-BE" w:eastAsia="nl-BE"/>
              </w:rPr>
            </w:pPr>
            <w:r>
              <w:rPr>
                <w:b/>
                <w:bCs/>
                <w:lang w:val="fr-BE" w:eastAsia="nl-BE"/>
              </w:rPr>
              <w:t xml:space="preserve">Contact </w:t>
            </w:r>
            <w:proofErr w:type="spellStart"/>
            <w:r>
              <w:rPr>
                <w:b/>
                <w:bCs/>
                <w:lang w:val="fr-BE" w:eastAsia="nl-BE"/>
              </w:rPr>
              <w:t>Comeos</w:t>
            </w:r>
            <w:proofErr w:type="spellEnd"/>
            <w:r>
              <w:rPr>
                <w:b/>
                <w:bCs/>
                <w:lang w:val="fr-BE" w:eastAsia="nl-BE"/>
              </w:rPr>
              <w:t> :</w:t>
            </w:r>
          </w:p>
          <w:p w:rsidR="00F07406" w:rsidRDefault="00F07406">
            <w:pPr>
              <w:spacing w:after="0" w:line="240" w:lineRule="auto"/>
              <w:rPr>
                <w:lang w:val="fr-BE" w:eastAsia="nl-BE"/>
              </w:rPr>
            </w:pPr>
            <w:r>
              <w:rPr>
                <w:lang w:val="fr-BE" w:eastAsia="nl-BE"/>
              </w:rPr>
              <w:t xml:space="preserve">Gérard de </w:t>
            </w:r>
            <w:proofErr w:type="spellStart"/>
            <w:r>
              <w:rPr>
                <w:lang w:val="fr-BE" w:eastAsia="nl-BE"/>
              </w:rPr>
              <w:t>Laminne</w:t>
            </w:r>
            <w:proofErr w:type="spellEnd"/>
            <w:r>
              <w:rPr>
                <w:lang w:val="fr-BE" w:eastAsia="nl-BE"/>
              </w:rPr>
              <w:t xml:space="preserve"> de Bex</w:t>
            </w:r>
          </w:p>
          <w:p w:rsidR="00F07406" w:rsidRDefault="00F07406">
            <w:pPr>
              <w:spacing w:after="0" w:line="240" w:lineRule="auto"/>
              <w:rPr>
                <w:lang w:val="fr-BE" w:eastAsia="nl-BE"/>
              </w:rPr>
            </w:pPr>
            <w:r>
              <w:rPr>
                <w:lang w:val="fr-BE" w:eastAsia="nl-BE"/>
              </w:rPr>
              <w:t>Directeur général</w:t>
            </w:r>
          </w:p>
          <w:p w:rsidR="00F07406" w:rsidRDefault="00F07406">
            <w:pPr>
              <w:spacing w:after="0" w:line="240" w:lineRule="auto"/>
              <w:rPr>
                <w:lang w:val="fr-BE" w:eastAsia="nl-BE"/>
              </w:rPr>
            </w:pPr>
            <w:hyperlink r:id="rId13" w:history="1">
              <w:r>
                <w:rPr>
                  <w:rStyle w:val="Hyperlink"/>
                  <w:lang w:val="fr-BE" w:eastAsia="nl-BE"/>
                </w:rPr>
                <w:t>Gerard.delaminne@comeos.be</w:t>
              </w:r>
            </w:hyperlink>
            <w:r w:rsidRPr="00F07406">
              <w:rPr>
                <w:lang w:val="fr-FR" w:eastAsia="nl-BE"/>
              </w:rPr>
              <w:t xml:space="preserve"> </w:t>
            </w:r>
          </w:p>
          <w:p w:rsidR="00F07406" w:rsidRDefault="00F07406">
            <w:pPr>
              <w:spacing w:after="0" w:line="240" w:lineRule="auto"/>
              <w:rPr>
                <w:lang w:val="fr-BE" w:eastAsia="nl-BE"/>
              </w:rPr>
            </w:pPr>
            <w:r>
              <w:t>0496/55.53.14</w:t>
            </w:r>
          </w:p>
        </w:tc>
        <w:tc>
          <w:tcPr>
            <w:tcW w:w="3044" w:type="dxa"/>
            <w:tcMar>
              <w:top w:w="0" w:type="dxa"/>
              <w:left w:w="108" w:type="dxa"/>
              <w:bottom w:w="0" w:type="dxa"/>
              <w:right w:w="108" w:type="dxa"/>
            </w:tcMar>
          </w:tcPr>
          <w:p w:rsidR="00F07406" w:rsidRDefault="00F07406">
            <w:pPr>
              <w:spacing w:after="0" w:line="240" w:lineRule="auto"/>
              <w:rPr>
                <w:b/>
                <w:bCs/>
                <w:lang w:val="fr-BE" w:eastAsia="nl-BE"/>
              </w:rPr>
            </w:pPr>
            <w:r>
              <w:rPr>
                <w:b/>
                <w:bCs/>
                <w:noProof/>
                <w:lang w:eastAsia="nl-BE"/>
              </w:rPr>
              <w:drawing>
                <wp:inline distT="0" distB="0" distL="0" distR="0" wp14:anchorId="44D7276A" wp14:editId="0D0FED45">
                  <wp:extent cx="847725" cy="828675"/>
                  <wp:effectExtent l="0" t="0" r="9525" b="9525"/>
                  <wp:docPr id="5" name="Picture 5" descr="ess_wal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s_wall_CMYK"/>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F07406" w:rsidRDefault="00F07406">
            <w:pPr>
              <w:spacing w:after="0" w:line="240" w:lineRule="auto"/>
              <w:rPr>
                <w:b/>
                <w:bCs/>
                <w:lang w:val="fr-BE" w:eastAsia="nl-BE"/>
              </w:rPr>
            </w:pPr>
          </w:p>
          <w:p w:rsidR="00F07406" w:rsidRDefault="00F07406">
            <w:pPr>
              <w:spacing w:after="0" w:line="240" w:lineRule="auto"/>
              <w:rPr>
                <w:b/>
                <w:bCs/>
                <w:lang w:val="fr-BE" w:eastAsia="nl-BE"/>
              </w:rPr>
            </w:pPr>
            <w:r>
              <w:rPr>
                <w:b/>
                <w:bCs/>
                <w:lang w:val="fr-BE" w:eastAsia="nl-BE"/>
              </w:rPr>
              <w:t xml:space="preserve">Contact </w:t>
            </w:r>
            <w:proofErr w:type="spellStart"/>
            <w:r>
              <w:rPr>
                <w:b/>
                <w:bCs/>
                <w:lang w:val="fr-BE" w:eastAsia="nl-BE"/>
              </w:rPr>
              <w:t>essenscia</w:t>
            </w:r>
            <w:proofErr w:type="spellEnd"/>
            <w:r>
              <w:rPr>
                <w:b/>
                <w:bCs/>
                <w:lang w:val="fr-BE" w:eastAsia="nl-BE"/>
              </w:rPr>
              <w:t> : </w:t>
            </w:r>
          </w:p>
          <w:p w:rsidR="00F07406" w:rsidRDefault="00F07406">
            <w:pPr>
              <w:spacing w:after="0" w:line="240" w:lineRule="auto"/>
              <w:rPr>
                <w:lang w:val="fr-BE" w:eastAsia="nl-BE"/>
              </w:rPr>
            </w:pPr>
            <w:r>
              <w:rPr>
                <w:lang w:val="fr-BE" w:eastAsia="nl-BE"/>
              </w:rPr>
              <w:t xml:space="preserve">Corine </w:t>
            </w:r>
            <w:proofErr w:type="spellStart"/>
            <w:r>
              <w:rPr>
                <w:lang w:val="fr-BE" w:eastAsia="nl-BE"/>
              </w:rPr>
              <w:t>Petry</w:t>
            </w:r>
            <w:proofErr w:type="spellEnd"/>
          </w:p>
          <w:p w:rsidR="00F07406" w:rsidRDefault="00F07406">
            <w:pPr>
              <w:spacing w:after="0" w:line="240" w:lineRule="auto"/>
              <w:rPr>
                <w:lang w:val="fr-BE" w:eastAsia="nl-BE"/>
              </w:rPr>
            </w:pPr>
            <w:hyperlink r:id="rId16" w:history="1">
              <w:r>
                <w:rPr>
                  <w:rStyle w:val="Hyperlink"/>
                  <w:lang w:val="fr-BE" w:eastAsia="nl-BE"/>
                </w:rPr>
                <w:t>cpetry@essenscia.be</w:t>
              </w:r>
            </w:hyperlink>
            <w:r w:rsidRPr="00F07406">
              <w:rPr>
                <w:lang w:val="fr-FR" w:eastAsia="nl-BE"/>
              </w:rPr>
              <w:t xml:space="preserve"> </w:t>
            </w:r>
          </w:p>
          <w:p w:rsidR="00F07406" w:rsidRDefault="00F07406">
            <w:pPr>
              <w:rPr>
                <w:lang w:val="en-US"/>
              </w:rPr>
            </w:pPr>
            <w:r>
              <w:rPr>
                <w:lang w:val="en-US"/>
              </w:rPr>
              <w:t>0474/49.93.06</w:t>
            </w:r>
          </w:p>
          <w:p w:rsidR="00F07406" w:rsidRDefault="00F07406">
            <w:pPr>
              <w:spacing w:after="0" w:line="240" w:lineRule="auto"/>
              <w:rPr>
                <w:lang w:val="en-US" w:eastAsia="nl-BE"/>
              </w:rPr>
            </w:pPr>
          </w:p>
        </w:tc>
        <w:tc>
          <w:tcPr>
            <w:tcW w:w="3092" w:type="dxa"/>
            <w:tcMar>
              <w:top w:w="0" w:type="dxa"/>
              <w:left w:w="108" w:type="dxa"/>
              <w:bottom w:w="0" w:type="dxa"/>
              <w:right w:w="108" w:type="dxa"/>
            </w:tcMar>
          </w:tcPr>
          <w:p w:rsidR="00F07406" w:rsidRDefault="00F07406">
            <w:pPr>
              <w:spacing w:after="0" w:line="240" w:lineRule="auto"/>
              <w:rPr>
                <w:b/>
                <w:bCs/>
                <w:lang w:val="fr-BE" w:eastAsia="nl-BE"/>
              </w:rPr>
            </w:pPr>
            <w:r>
              <w:rPr>
                <w:b/>
                <w:bCs/>
                <w:noProof/>
                <w:lang w:eastAsia="nl-BE"/>
              </w:rPr>
              <w:drawing>
                <wp:inline distT="0" distB="0" distL="0" distR="0" wp14:anchorId="370E28CA" wp14:editId="353F941E">
                  <wp:extent cx="1323975" cy="704850"/>
                  <wp:effectExtent l="0" t="0" r="9525" b="0"/>
                  <wp:docPr id="4" name="Picture 4" descr="Fevia_logo_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via_logo_Walloni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323975" cy="704850"/>
                          </a:xfrm>
                          <a:prstGeom prst="rect">
                            <a:avLst/>
                          </a:prstGeom>
                          <a:noFill/>
                          <a:ln>
                            <a:noFill/>
                          </a:ln>
                        </pic:spPr>
                      </pic:pic>
                    </a:graphicData>
                  </a:graphic>
                </wp:inline>
              </w:drawing>
            </w:r>
          </w:p>
          <w:p w:rsidR="00F07406" w:rsidRDefault="00F07406">
            <w:pPr>
              <w:spacing w:after="0" w:line="240" w:lineRule="auto"/>
              <w:rPr>
                <w:b/>
                <w:bCs/>
                <w:lang w:val="fr-BE" w:eastAsia="nl-BE"/>
              </w:rPr>
            </w:pPr>
          </w:p>
          <w:p w:rsidR="00F07406" w:rsidRDefault="00F07406">
            <w:pPr>
              <w:spacing w:after="0" w:line="240" w:lineRule="auto"/>
              <w:rPr>
                <w:b/>
                <w:bCs/>
                <w:lang w:val="fr-BE" w:eastAsia="nl-BE"/>
              </w:rPr>
            </w:pPr>
            <w:r>
              <w:rPr>
                <w:b/>
                <w:bCs/>
                <w:lang w:val="fr-BE" w:eastAsia="nl-BE"/>
              </w:rPr>
              <w:t xml:space="preserve">Contact </w:t>
            </w:r>
            <w:proofErr w:type="spellStart"/>
            <w:r>
              <w:rPr>
                <w:b/>
                <w:bCs/>
                <w:lang w:val="fr-BE" w:eastAsia="nl-BE"/>
              </w:rPr>
              <w:t>Fevia</w:t>
            </w:r>
            <w:proofErr w:type="spellEnd"/>
            <w:r>
              <w:rPr>
                <w:b/>
                <w:bCs/>
                <w:lang w:val="fr-BE" w:eastAsia="nl-BE"/>
              </w:rPr>
              <w:t> :</w:t>
            </w:r>
          </w:p>
          <w:p w:rsidR="00F07406" w:rsidRDefault="00F07406">
            <w:pPr>
              <w:spacing w:after="0" w:line="240" w:lineRule="auto"/>
              <w:rPr>
                <w:lang w:val="fr-BE"/>
              </w:rPr>
            </w:pPr>
            <w:r>
              <w:rPr>
                <w:lang w:val="fr-BE"/>
              </w:rPr>
              <w:t>Anne Reul</w:t>
            </w:r>
          </w:p>
          <w:p w:rsidR="00F07406" w:rsidRDefault="00F07406">
            <w:pPr>
              <w:spacing w:after="0" w:line="240" w:lineRule="auto"/>
              <w:rPr>
                <w:b/>
                <w:bCs/>
                <w:lang w:val="fr-BE" w:eastAsia="nl-BE"/>
              </w:rPr>
            </w:pPr>
            <w:r>
              <w:rPr>
                <w:lang w:val="fr-BE"/>
              </w:rPr>
              <w:t>Secrétaire générale 0476/58.20.32</w:t>
            </w:r>
          </w:p>
        </w:tc>
        <w:tc>
          <w:tcPr>
            <w:tcW w:w="2885" w:type="dxa"/>
            <w:tcMar>
              <w:top w:w="0" w:type="dxa"/>
              <w:left w:w="108" w:type="dxa"/>
              <w:bottom w:w="0" w:type="dxa"/>
              <w:right w:w="108" w:type="dxa"/>
            </w:tcMar>
            <w:hideMark/>
          </w:tcPr>
          <w:p w:rsidR="00F07406" w:rsidRDefault="00F07406">
            <w:pPr>
              <w:spacing w:after="0" w:line="240" w:lineRule="auto"/>
              <w:rPr>
                <w:b/>
                <w:bCs/>
                <w:lang w:val="fr-BE" w:eastAsia="nl-BE"/>
              </w:rPr>
            </w:pPr>
            <w:r>
              <w:rPr>
                <w:b/>
                <w:bCs/>
                <w:noProof/>
                <w:lang w:eastAsia="nl-BE"/>
              </w:rPr>
              <w:drawing>
                <wp:inline distT="0" distB="0" distL="0" distR="0" wp14:anchorId="6322085B" wp14:editId="2BA77383">
                  <wp:extent cx="962025" cy="809625"/>
                  <wp:effectExtent l="0" t="0" r="9525" b="9525"/>
                  <wp:docPr id="3" name="Picture 3" descr="De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tic"/>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62025" cy="809625"/>
                          </a:xfrm>
                          <a:prstGeom prst="rect">
                            <a:avLst/>
                          </a:prstGeom>
                          <a:noFill/>
                          <a:ln>
                            <a:noFill/>
                          </a:ln>
                        </pic:spPr>
                      </pic:pic>
                    </a:graphicData>
                  </a:graphic>
                </wp:inline>
              </w:drawing>
            </w:r>
          </w:p>
          <w:p w:rsidR="00F07406" w:rsidRDefault="00F07406">
            <w:pPr>
              <w:spacing w:after="0" w:line="240" w:lineRule="auto"/>
              <w:rPr>
                <w:b/>
                <w:bCs/>
                <w:lang w:val="fr-BE" w:eastAsia="nl-BE"/>
              </w:rPr>
            </w:pPr>
            <w:r>
              <w:rPr>
                <w:b/>
                <w:bCs/>
                <w:lang w:val="fr-BE" w:eastAsia="nl-BE"/>
              </w:rPr>
              <w:t xml:space="preserve">Contact DETIC : </w:t>
            </w:r>
          </w:p>
          <w:p w:rsidR="00F07406" w:rsidRDefault="00F07406">
            <w:pPr>
              <w:spacing w:after="0" w:line="240" w:lineRule="auto"/>
              <w:rPr>
                <w:lang w:val="fr-BE" w:eastAsia="nl-BE"/>
              </w:rPr>
            </w:pPr>
            <w:r>
              <w:rPr>
                <w:lang w:val="fr-BE" w:eastAsia="nl-BE"/>
              </w:rPr>
              <w:t xml:space="preserve">Frédéric </w:t>
            </w:r>
            <w:proofErr w:type="spellStart"/>
            <w:r>
              <w:rPr>
                <w:lang w:val="fr-BE" w:eastAsia="nl-BE"/>
              </w:rPr>
              <w:t>Warzée</w:t>
            </w:r>
            <w:proofErr w:type="spellEnd"/>
          </w:p>
          <w:p w:rsidR="00F07406" w:rsidRDefault="00F07406">
            <w:pPr>
              <w:spacing w:after="0" w:line="240" w:lineRule="auto"/>
              <w:rPr>
                <w:color w:val="1F497D"/>
                <w:lang w:val="fr-BE" w:eastAsia="nl-BE"/>
              </w:rPr>
            </w:pPr>
            <w:hyperlink r:id="rId21" w:history="1">
              <w:r>
                <w:rPr>
                  <w:rStyle w:val="Hyperlink"/>
                  <w:lang w:val="fr-BE" w:eastAsia="nl-BE"/>
                </w:rPr>
                <w:t>fwarzee@detic.be</w:t>
              </w:r>
            </w:hyperlink>
            <w:r>
              <w:rPr>
                <w:color w:val="1F497D"/>
                <w:lang w:eastAsia="nl-BE"/>
              </w:rPr>
              <w:t xml:space="preserve"> </w:t>
            </w:r>
            <w:r>
              <w:rPr>
                <w:lang w:val="fr-BE" w:eastAsia="nl-BE"/>
              </w:rPr>
              <w:t> </w:t>
            </w:r>
          </w:p>
          <w:p w:rsidR="00F07406" w:rsidRDefault="00F07406">
            <w:pPr>
              <w:spacing w:after="0" w:line="240" w:lineRule="auto"/>
              <w:rPr>
                <w:b/>
                <w:bCs/>
                <w:lang w:val="fr-BE" w:eastAsia="nl-BE"/>
              </w:rPr>
            </w:pPr>
            <w:r>
              <w:rPr>
                <w:lang w:val="fr-BE"/>
              </w:rPr>
              <w:t>0498/94.79.22</w:t>
            </w:r>
          </w:p>
          <w:p w:rsidR="00F07406" w:rsidRDefault="00F07406">
            <w:pPr>
              <w:spacing w:after="0" w:line="240" w:lineRule="auto"/>
              <w:rPr>
                <w:b/>
                <w:bCs/>
                <w:lang w:val="fr-BE" w:eastAsia="nl-BE"/>
              </w:rPr>
            </w:pPr>
            <w:r>
              <w:rPr>
                <w:b/>
                <w:bCs/>
                <w:lang w:val="fr-BE" w:eastAsia="nl-BE"/>
              </w:rPr>
              <w:t> </w:t>
            </w:r>
          </w:p>
        </w:tc>
        <w:tc>
          <w:tcPr>
            <w:tcW w:w="2885" w:type="dxa"/>
            <w:tcMar>
              <w:top w:w="0" w:type="dxa"/>
              <w:left w:w="108" w:type="dxa"/>
              <w:bottom w:w="0" w:type="dxa"/>
              <w:right w:w="108" w:type="dxa"/>
            </w:tcMar>
          </w:tcPr>
          <w:p w:rsidR="00F07406" w:rsidRDefault="00F07406">
            <w:pPr>
              <w:spacing w:after="0" w:line="240" w:lineRule="auto"/>
              <w:rPr>
                <w:b/>
                <w:bCs/>
                <w:lang w:val="fr-BE" w:eastAsia="nl-BE"/>
              </w:rPr>
            </w:pPr>
            <w:r>
              <w:rPr>
                <w:noProof/>
                <w:color w:val="0000FF"/>
                <w:lang w:eastAsia="nl-BE"/>
              </w:rPr>
              <w:drawing>
                <wp:inline distT="0" distB="0" distL="0" distR="0" wp14:anchorId="52072402" wp14:editId="76FD3C23">
                  <wp:extent cx="1133475" cy="590550"/>
                  <wp:effectExtent l="0" t="0" r="9525" b="0"/>
                  <wp:docPr id="2" name="Picture 2" descr="http://www.lhomme-occasions.be/theme/federauto.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homme-occasions.be/theme/federauto.gif"/>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133475" cy="590550"/>
                          </a:xfrm>
                          <a:prstGeom prst="rect">
                            <a:avLst/>
                          </a:prstGeom>
                          <a:noFill/>
                          <a:ln>
                            <a:noFill/>
                          </a:ln>
                        </pic:spPr>
                      </pic:pic>
                    </a:graphicData>
                  </a:graphic>
                </wp:inline>
              </w:drawing>
            </w:r>
          </w:p>
          <w:p w:rsidR="00F07406" w:rsidRDefault="00F07406">
            <w:pPr>
              <w:spacing w:after="0" w:line="240" w:lineRule="auto"/>
              <w:rPr>
                <w:b/>
                <w:bCs/>
                <w:lang w:val="fr-BE" w:eastAsia="nl-BE"/>
              </w:rPr>
            </w:pPr>
          </w:p>
          <w:p w:rsidR="00F07406" w:rsidRDefault="00F07406">
            <w:pPr>
              <w:spacing w:after="0" w:line="240" w:lineRule="auto"/>
              <w:rPr>
                <w:b/>
                <w:bCs/>
                <w:lang w:val="en-US" w:eastAsia="nl-BE"/>
              </w:rPr>
            </w:pPr>
            <w:r>
              <w:rPr>
                <w:b/>
                <w:bCs/>
                <w:lang w:val="en-US" w:eastAsia="nl-BE"/>
              </w:rPr>
              <w:t>Contact FEDERAUTO :</w:t>
            </w:r>
          </w:p>
          <w:p w:rsidR="00F07406" w:rsidRDefault="00F07406">
            <w:pPr>
              <w:spacing w:after="0" w:line="240" w:lineRule="auto"/>
              <w:rPr>
                <w:lang w:val="en-US" w:eastAsia="nl-BE"/>
              </w:rPr>
            </w:pPr>
            <w:r>
              <w:rPr>
                <w:lang w:val="en-US" w:eastAsia="nl-BE"/>
              </w:rPr>
              <w:t xml:space="preserve">Manuela </w:t>
            </w:r>
            <w:proofErr w:type="spellStart"/>
            <w:r>
              <w:rPr>
                <w:lang w:val="en-US" w:eastAsia="nl-BE"/>
              </w:rPr>
              <w:t>Fiorucci</w:t>
            </w:r>
            <w:proofErr w:type="spellEnd"/>
          </w:p>
          <w:p w:rsidR="00F07406" w:rsidRDefault="00F07406">
            <w:pPr>
              <w:spacing w:after="0" w:line="240" w:lineRule="auto"/>
              <w:rPr>
                <w:b/>
                <w:bCs/>
                <w:color w:val="1F497D"/>
                <w:lang w:val="fr-BE" w:eastAsia="nl-BE"/>
              </w:rPr>
            </w:pPr>
            <w:r>
              <w:rPr>
                <w:lang w:val="fr-BE"/>
              </w:rPr>
              <w:t>02/778.62.00</w:t>
            </w:r>
          </w:p>
        </w:tc>
        <w:tc>
          <w:tcPr>
            <w:tcW w:w="2885" w:type="dxa"/>
            <w:tcMar>
              <w:top w:w="0" w:type="dxa"/>
              <w:left w:w="108" w:type="dxa"/>
              <w:bottom w:w="0" w:type="dxa"/>
              <w:right w:w="108" w:type="dxa"/>
            </w:tcMar>
          </w:tcPr>
          <w:p w:rsidR="00F07406" w:rsidRDefault="00F07406">
            <w:pPr>
              <w:spacing w:after="0" w:line="240" w:lineRule="auto"/>
              <w:rPr>
                <w:b/>
                <w:bCs/>
                <w:lang w:val="fr-BE" w:eastAsia="nl-BE"/>
              </w:rPr>
            </w:pPr>
            <w:r>
              <w:rPr>
                <w:noProof/>
                <w:color w:val="0000FF"/>
                <w:lang w:eastAsia="nl-BE"/>
              </w:rPr>
              <w:drawing>
                <wp:inline distT="0" distB="0" distL="0" distR="0" wp14:anchorId="6BF8FBA1" wp14:editId="49DA4580">
                  <wp:extent cx="914400" cy="581025"/>
                  <wp:effectExtent l="0" t="0" r="0" b="9525"/>
                  <wp:docPr id="1" name="Picture 1" descr="http://www.organisations-professionnelles.be/var/ucm/storage/images/media/logos-externes/logo-fee/964574-1-fre-FR/Logo-FEE_medium.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rganisations-professionnelles.be/var/ucm/storage/images/media/logos-externes/logo-fee/964574-1-fre-FR/Logo-FEE_medium.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14400" cy="581025"/>
                          </a:xfrm>
                          <a:prstGeom prst="rect">
                            <a:avLst/>
                          </a:prstGeom>
                          <a:noFill/>
                          <a:ln>
                            <a:noFill/>
                          </a:ln>
                        </pic:spPr>
                      </pic:pic>
                    </a:graphicData>
                  </a:graphic>
                </wp:inline>
              </w:drawing>
            </w:r>
          </w:p>
          <w:p w:rsidR="00F07406" w:rsidRDefault="00F07406">
            <w:pPr>
              <w:spacing w:after="0" w:line="240" w:lineRule="auto"/>
              <w:rPr>
                <w:b/>
                <w:bCs/>
                <w:lang w:val="fr-BE" w:eastAsia="nl-BE"/>
              </w:rPr>
            </w:pPr>
          </w:p>
          <w:p w:rsidR="00F07406" w:rsidRDefault="00F07406">
            <w:pPr>
              <w:spacing w:after="0" w:line="240" w:lineRule="auto"/>
              <w:rPr>
                <w:b/>
                <w:bCs/>
                <w:lang w:val="en-US" w:eastAsia="nl-BE"/>
              </w:rPr>
            </w:pPr>
            <w:r>
              <w:rPr>
                <w:b/>
                <w:bCs/>
                <w:lang w:val="en-US" w:eastAsia="nl-BE"/>
              </w:rPr>
              <w:t xml:space="preserve">Contact FEE : </w:t>
            </w:r>
          </w:p>
          <w:p w:rsidR="00F07406" w:rsidRDefault="00F07406">
            <w:pPr>
              <w:spacing w:after="0" w:line="240" w:lineRule="auto"/>
              <w:rPr>
                <w:lang w:val="en-US" w:eastAsia="nl-BE"/>
              </w:rPr>
            </w:pPr>
            <w:r>
              <w:rPr>
                <w:lang w:val="en-US" w:eastAsia="nl-BE"/>
              </w:rPr>
              <w:t xml:space="preserve">Peter </w:t>
            </w:r>
            <w:proofErr w:type="spellStart"/>
            <w:r>
              <w:rPr>
                <w:lang w:val="en-US" w:eastAsia="nl-BE"/>
              </w:rPr>
              <w:t>Binnemans</w:t>
            </w:r>
            <w:proofErr w:type="spellEnd"/>
          </w:p>
          <w:p w:rsidR="00F07406" w:rsidRDefault="00F07406">
            <w:pPr>
              <w:spacing w:after="0" w:line="240" w:lineRule="auto"/>
              <w:rPr>
                <w:color w:val="000000"/>
                <w:lang w:val="en-US"/>
              </w:rPr>
            </w:pPr>
            <w:hyperlink r:id="rId28" w:history="1">
              <w:r>
                <w:rPr>
                  <w:rStyle w:val="Hyperlink"/>
                  <w:lang w:val="en-US"/>
                </w:rPr>
                <w:t>p.binnemans@feebel.be</w:t>
              </w:r>
            </w:hyperlink>
            <w:r w:rsidRPr="00F07406">
              <w:rPr>
                <w:color w:val="000000"/>
                <w:lang w:val="en-US"/>
              </w:rPr>
              <w:t xml:space="preserve"> </w:t>
            </w:r>
          </w:p>
          <w:p w:rsidR="00F07406" w:rsidRDefault="00F07406">
            <w:pPr>
              <w:spacing w:after="0" w:line="240" w:lineRule="auto"/>
              <w:rPr>
                <w:b/>
                <w:bCs/>
                <w:lang w:eastAsia="nl-BE"/>
              </w:rPr>
            </w:pPr>
            <w:r>
              <w:rPr>
                <w:color w:val="000000"/>
              </w:rPr>
              <w:t>02</w:t>
            </w:r>
            <w:r>
              <w:rPr>
                <w:color w:val="1F497D"/>
              </w:rPr>
              <w:t>/</w:t>
            </w:r>
            <w:r>
              <w:rPr>
                <w:color w:val="000000"/>
              </w:rPr>
              <w:t>720</w:t>
            </w:r>
            <w:r>
              <w:rPr>
                <w:color w:val="1F497D"/>
              </w:rPr>
              <w:t>.</w:t>
            </w:r>
            <w:r>
              <w:rPr>
                <w:color w:val="000000"/>
              </w:rPr>
              <w:t>40</w:t>
            </w:r>
            <w:r>
              <w:rPr>
                <w:color w:val="1F497D"/>
              </w:rPr>
              <w:t>.</w:t>
            </w:r>
            <w:r>
              <w:rPr>
                <w:color w:val="000000"/>
              </w:rPr>
              <w:t>80</w:t>
            </w:r>
          </w:p>
        </w:tc>
      </w:tr>
    </w:tbl>
    <w:p w:rsidR="0065302F" w:rsidRDefault="0065302F"/>
    <w:sectPr w:rsidR="0065302F" w:rsidSect="00F07406">
      <w:pgSz w:w="16838" w:h="11906" w:orient="landscape"/>
      <w:pgMar w:top="1135" w:right="1417" w:bottom="42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406" w:rsidRDefault="00F07406" w:rsidP="00F07406">
      <w:pPr>
        <w:spacing w:after="0" w:line="240" w:lineRule="auto"/>
      </w:pPr>
      <w:r>
        <w:separator/>
      </w:r>
    </w:p>
  </w:endnote>
  <w:endnote w:type="continuationSeparator" w:id="0">
    <w:p w:rsidR="00F07406" w:rsidRDefault="00F07406" w:rsidP="00F0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406" w:rsidRDefault="00F07406" w:rsidP="00F07406">
      <w:pPr>
        <w:spacing w:after="0" w:line="240" w:lineRule="auto"/>
      </w:pPr>
      <w:r>
        <w:separator/>
      </w:r>
    </w:p>
  </w:footnote>
  <w:footnote w:type="continuationSeparator" w:id="0">
    <w:p w:rsidR="00F07406" w:rsidRDefault="00F07406" w:rsidP="00F07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922EB"/>
    <w:multiLevelType w:val="hybridMultilevel"/>
    <w:tmpl w:val="6C3A4B2C"/>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06"/>
    <w:rsid w:val="0065302F"/>
    <w:rsid w:val="006A5287"/>
    <w:rsid w:val="00D7723E"/>
    <w:rsid w:val="00F074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06"/>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7406"/>
    <w:rPr>
      <w:color w:val="0000FF"/>
      <w:u w:val="single"/>
    </w:rPr>
  </w:style>
  <w:style w:type="character" w:styleId="Emphasis">
    <w:name w:val="Emphasis"/>
    <w:basedOn w:val="DefaultParagraphFont"/>
    <w:uiPriority w:val="20"/>
    <w:qFormat/>
    <w:rsid w:val="00F07406"/>
    <w:rPr>
      <w:rFonts w:ascii="Calibri" w:hAnsi="Calibri" w:cs="Calibri" w:hint="default"/>
      <w:i w:val="0"/>
      <w:iCs w:val="0"/>
      <w:spacing w:val="0"/>
      <w:position w:val="0"/>
    </w:rPr>
  </w:style>
  <w:style w:type="paragraph" w:styleId="NoSpacing">
    <w:name w:val="No Spacing"/>
    <w:basedOn w:val="Normal"/>
    <w:uiPriority w:val="1"/>
    <w:qFormat/>
    <w:rsid w:val="00F07406"/>
    <w:pPr>
      <w:spacing w:after="0" w:line="240" w:lineRule="auto"/>
    </w:pPr>
  </w:style>
  <w:style w:type="paragraph" w:styleId="ListParagraph">
    <w:name w:val="List Paragraph"/>
    <w:basedOn w:val="Normal"/>
    <w:uiPriority w:val="34"/>
    <w:qFormat/>
    <w:rsid w:val="00F07406"/>
    <w:pPr>
      <w:ind w:left="720"/>
      <w:contextualSpacing/>
    </w:pPr>
  </w:style>
  <w:style w:type="paragraph" w:customStyle="1" w:styleId="Default">
    <w:name w:val="Default"/>
    <w:basedOn w:val="Normal"/>
    <w:rsid w:val="00F07406"/>
    <w:pPr>
      <w:autoSpaceDE w:val="0"/>
      <w:autoSpaceDN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07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06"/>
    <w:rPr>
      <w:rFonts w:ascii="Tahoma" w:hAnsi="Tahoma" w:cs="Tahoma"/>
      <w:sz w:val="16"/>
      <w:szCs w:val="16"/>
    </w:rPr>
  </w:style>
  <w:style w:type="paragraph" w:styleId="Header">
    <w:name w:val="header"/>
    <w:basedOn w:val="Normal"/>
    <w:link w:val="HeaderChar"/>
    <w:uiPriority w:val="99"/>
    <w:unhideWhenUsed/>
    <w:rsid w:val="00F074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7406"/>
    <w:rPr>
      <w:rFonts w:ascii="Calibri" w:hAnsi="Calibri" w:cs="Calibri"/>
    </w:rPr>
  </w:style>
  <w:style w:type="paragraph" w:styleId="Footer">
    <w:name w:val="footer"/>
    <w:basedOn w:val="Normal"/>
    <w:link w:val="FooterChar"/>
    <w:uiPriority w:val="99"/>
    <w:unhideWhenUsed/>
    <w:rsid w:val="00F074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7406"/>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06"/>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7406"/>
    <w:rPr>
      <w:color w:val="0000FF"/>
      <w:u w:val="single"/>
    </w:rPr>
  </w:style>
  <w:style w:type="character" w:styleId="Emphasis">
    <w:name w:val="Emphasis"/>
    <w:basedOn w:val="DefaultParagraphFont"/>
    <w:uiPriority w:val="20"/>
    <w:qFormat/>
    <w:rsid w:val="00F07406"/>
    <w:rPr>
      <w:rFonts w:ascii="Calibri" w:hAnsi="Calibri" w:cs="Calibri" w:hint="default"/>
      <w:i w:val="0"/>
      <w:iCs w:val="0"/>
      <w:spacing w:val="0"/>
      <w:position w:val="0"/>
    </w:rPr>
  </w:style>
  <w:style w:type="paragraph" w:styleId="NoSpacing">
    <w:name w:val="No Spacing"/>
    <w:basedOn w:val="Normal"/>
    <w:uiPriority w:val="1"/>
    <w:qFormat/>
    <w:rsid w:val="00F07406"/>
    <w:pPr>
      <w:spacing w:after="0" w:line="240" w:lineRule="auto"/>
    </w:pPr>
  </w:style>
  <w:style w:type="paragraph" w:styleId="ListParagraph">
    <w:name w:val="List Paragraph"/>
    <w:basedOn w:val="Normal"/>
    <w:uiPriority w:val="34"/>
    <w:qFormat/>
    <w:rsid w:val="00F07406"/>
    <w:pPr>
      <w:ind w:left="720"/>
      <w:contextualSpacing/>
    </w:pPr>
  </w:style>
  <w:style w:type="paragraph" w:customStyle="1" w:styleId="Default">
    <w:name w:val="Default"/>
    <w:basedOn w:val="Normal"/>
    <w:rsid w:val="00F07406"/>
    <w:pPr>
      <w:autoSpaceDE w:val="0"/>
      <w:autoSpaceDN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07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06"/>
    <w:rPr>
      <w:rFonts w:ascii="Tahoma" w:hAnsi="Tahoma" w:cs="Tahoma"/>
      <w:sz w:val="16"/>
      <w:szCs w:val="16"/>
    </w:rPr>
  </w:style>
  <w:style w:type="paragraph" w:styleId="Header">
    <w:name w:val="header"/>
    <w:basedOn w:val="Normal"/>
    <w:link w:val="HeaderChar"/>
    <w:uiPriority w:val="99"/>
    <w:unhideWhenUsed/>
    <w:rsid w:val="00F074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7406"/>
    <w:rPr>
      <w:rFonts w:ascii="Calibri" w:hAnsi="Calibri" w:cs="Calibri"/>
    </w:rPr>
  </w:style>
  <w:style w:type="paragraph" w:styleId="Footer">
    <w:name w:val="footer"/>
    <w:basedOn w:val="Normal"/>
    <w:link w:val="FooterChar"/>
    <w:uiPriority w:val="99"/>
    <w:unhideWhenUsed/>
    <w:rsid w:val="00F074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740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1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erard.delaminne@comeos.be" TargetMode="External"/><Relationship Id="rId18" Type="http://schemas.openxmlformats.org/officeDocument/2006/relationships/image" Target="cid:image016.jpg@01CEB9DA.06BD6E50" TargetMode="External"/><Relationship Id="rId26"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hyperlink" Target="mailto:fwarzee@detic.be" TargetMode="External"/><Relationship Id="rId7" Type="http://schemas.openxmlformats.org/officeDocument/2006/relationships/endnotes" Target="endnotes.xml"/><Relationship Id="rId12" Type="http://schemas.openxmlformats.org/officeDocument/2006/relationships/image" Target="cid:image014.jpg@01CEB9DA.06BD6E50" TargetMode="External"/><Relationship Id="rId17" Type="http://schemas.openxmlformats.org/officeDocument/2006/relationships/image" Target="media/image4.jpeg"/><Relationship Id="rId25" Type="http://schemas.openxmlformats.org/officeDocument/2006/relationships/hyperlink" Target="http://www.google.be/url?sa=i&amp;rct=j&amp;q=&amp;esrc=s&amp;frm=1&amp;source=images&amp;cd=&amp;cad=rja&amp;docid=q0OwrTyuOvAcsM&amp;tbnid=DeR6RLd27rUvYM:&amp;ved=0CAUQjRw&amp;url=http%3A%2F%2Fwww.organisations-professionnelles.be%2FNos-membres%2FCommerce-Services-Artisanat-Industrie%2FFEE-Federation-de-l-electricite-et-de-l-electronique&amp;ei=RJBCUu7sE4Gw0QWMj4C4AQ&amp;bvm=bv.53077864,d.d2k&amp;psig=AFQjCNGL__9AyEefxBfG1X6gQY7aXOwtJA&amp;ust=1380180418371839" TargetMode="External"/><Relationship Id="rId2" Type="http://schemas.openxmlformats.org/officeDocument/2006/relationships/styles" Target="styles.xml"/><Relationship Id="rId16" Type="http://schemas.openxmlformats.org/officeDocument/2006/relationships/hyperlink" Target="mailto:cpetry@essenscia.be" TargetMode="External"/><Relationship Id="rId20" Type="http://schemas.openxmlformats.org/officeDocument/2006/relationships/image" Target="cid:image017.jpg@01CEB9DA.06BD6E5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cid:image018.png@01CEB9DA.06BD6E50" TargetMode="External"/><Relationship Id="rId5" Type="http://schemas.openxmlformats.org/officeDocument/2006/relationships/webSettings" Target="webSettings.xml"/><Relationship Id="rId15" Type="http://schemas.openxmlformats.org/officeDocument/2006/relationships/image" Target="cid:image015.jpg@01CEB9DA.06BD6E50" TargetMode="External"/><Relationship Id="rId23" Type="http://schemas.openxmlformats.org/officeDocument/2006/relationships/image" Target="media/image6.png"/><Relationship Id="rId28" Type="http://schemas.openxmlformats.org/officeDocument/2006/relationships/hyperlink" Target="mailto:p.binnemans@feebel.be" TargetMode="External"/><Relationship Id="rId10" Type="http://schemas.openxmlformats.org/officeDocument/2006/relationships/hyperlink" Target="mailto:sibylle.dechamps@agoria.be"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cid:image012.jpg@01CEB9DA.06BD6E50" TargetMode="External"/><Relationship Id="rId14" Type="http://schemas.openxmlformats.org/officeDocument/2006/relationships/image" Target="media/image3.jpeg"/><Relationship Id="rId22" Type="http://schemas.openxmlformats.org/officeDocument/2006/relationships/hyperlink" Target="http://www.google.be/url?sa=i&amp;rct=j&amp;q=&amp;esrc=s&amp;frm=1&amp;source=images&amp;cd=&amp;cad=rja&amp;docid=o8HXHU7pup-BqM&amp;tbnid=IjlfaUxMB783oM:&amp;ved=0CAUQjRw&amp;url=http://www.lhomme-occasions.be/&amp;ei=g5BCUrSKNuLR0QX1pYDQAg&amp;bvm=bv.53077864,d.d2k&amp;psig=AFQjCNGqv2zhZtQypgBEAG70EuZ8JbBJPg&amp;ust=1380180463771215" TargetMode="External"/><Relationship Id="rId27" Type="http://schemas.openxmlformats.org/officeDocument/2006/relationships/image" Target="cid:image020.jpg@01CEB9DA.06BD6E5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1065</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Fevia</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Garance de Villenfagne</dc:creator>
  <cp:lastModifiedBy>Garance de Villenfagne</cp:lastModifiedBy>
  <cp:revision>1</cp:revision>
  <dcterms:created xsi:type="dcterms:W3CDTF">2013-09-25T14:19:00Z</dcterms:created>
  <dcterms:modified xsi:type="dcterms:W3CDTF">2013-09-25T14:24:00Z</dcterms:modified>
</cp:coreProperties>
</file>